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</w:pPr>
      <w:r>
        <w:rPr>
          <w:rFonts w:cs="Arial" w:ascii="Arial" w:hAnsi="Arial"/>
          <w:b/>
          <w:sz w:val="24"/>
          <w:szCs w:val="24"/>
        </w:rPr>
        <w:t>I OFICINA DE CAPACITAÇÃO DA REDE</w:t>
      </w:r>
      <w:r/>
    </w:p>
    <w:p>
      <w:pPr>
        <w:pStyle w:val="NoSpacing"/>
        <w:spacing w:lineRule="auto" w:line="360"/>
        <w:jc w:val="center"/>
      </w:pPr>
      <w:r>
        <w:rPr>
          <w:rFonts w:cs="Arial" w:ascii="Arial" w:hAnsi="Arial"/>
          <w:b/>
          <w:sz w:val="24"/>
          <w:szCs w:val="24"/>
        </w:rPr>
        <w:t>DE ATENÇÃO À SAÚDE DA PESSOA COM DEFICIÊNCIA</w:t>
      </w:r>
      <w:r/>
    </w:p>
    <w:p>
      <w:pPr>
        <w:pStyle w:val="NoSpacing"/>
        <w:spacing w:lineRule="auto" w:line="360"/>
        <w:jc w:val="center"/>
      </w:pPr>
      <w:r>
        <w:rPr>
          <w:rFonts w:cs="Arial" w:ascii="Arial" w:hAnsi="Arial"/>
          <w:b/>
          <w:bCs/>
          <w:sz w:val="24"/>
          <w:szCs w:val="24"/>
        </w:rPr>
        <w:t>Regiões AMREC e AMESC</w:t>
      </w:r>
      <w:r/>
    </w:p>
    <w:p>
      <w:pPr>
        <w:pStyle w:val="NoSpacing"/>
        <w:spacing w:lineRule="auto" w:line="360"/>
        <w:jc w:val="center"/>
      </w:pPr>
      <w:r>
        <w:rPr>
          <w:rFonts w:cs="Arial" w:ascii="Arial" w:hAnsi="Arial"/>
          <w:b/>
          <w:bCs/>
          <w:sz w:val="24"/>
          <w:szCs w:val="24"/>
        </w:rPr>
        <w:t>Enfoque: Atenção aos ostomizados</w:t>
      </w:r>
      <w:r/>
    </w:p>
    <w:p>
      <w:pPr>
        <w:pStyle w:val="NoSpacing"/>
        <w:spacing w:lineRule="auto" w:line="360"/>
        <w:jc w:val="center"/>
        <w:rPr>
          <w:sz w:val="24"/>
          <w:b/>
          <w:sz w:val="24"/>
          <w:b/>
          <w:szCs w:val="24"/>
          <w:bCs/>
          <w:rFonts w:ascii="Arial" w:hAnsi="Arial" w:cs="Arial"/>
          <w:color w:val="00000A"/>
          <w:lang w:eastAsia="en-US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Spacing"/>
        <w:spacing w:lineRule="auto" w:line="360"/>
        <w:jc w:val="both"/>
      </w:pPr>
      <w:r>
        <w:rPr>
          <w:rFonts w:cs="Arial" w:ascii="Arial" w:hAnsi="Arial"/>
          <w:b/>
          <w:sz w:val="24"/>
          <w:szCs w:val="24"/>
        </w:rPr>
        <w:t xml:space="preserve">Público alvo: </w:t>
      </w:r>
      <w:r>
        <w:rPr>
          <w:rFonts w:cs="Arial" w:ascii="Arial" w:hAnsi="Arial"/>
          <w:sz w:val="24"/>
          <w:szCs w:val="24"/>
        </w:rPr>
        <w:t>profissionais enfermeiros e/ou técnicos de enfermagem (ou outro profissional que atue diretamente com este público) que trabalham na atenção aos ostomizados nos Municípios e Regionais de abrangência das duas Regiões de Saúde, profissionais do CER que atendem ostomizados.</w:t>
      </w:r>
      <w:r/>
    </w:p>
    <w:p>
      <w:pPr>
        <w:pStyle w:val="NoSpacing"/>
        <w:spacing w:lineRule="auto" w:line="360"/>
        <w:jc w:val="both"/>
      </w:pPr>
      <w:r>
        <w:rPr>
          <w:rFonts w:cs="Arial" w:ascii="Arial" w:hAnsi="Arial"/>
          <w:b/>
          <w:sz w:val="24"/>
          <w:szCs w:val="24"/>
        </w:rPr>
        <w:t>Carga horária: 08 horas</w:t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Data: 09 de outubro de 2015</w:t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</w:rPr>
        <w:t>Local: UNESC – Universidade do Extremo Sul Catarinense - Bloco O – Sala 01</w:t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</w:rPr>
        <w:tab/>
        <w:t xml:space="preserve"> Av. Universitária, 1.105. Bairro Universitário. CEP 88.806-000. Criciúma/SC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09 de outubro de 2015 (sexta-feira)</w:t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bCs/>
          <w:sz w:val="24"/>
          <w:szCs w:val="24"/>
        </w:rPr>
        <w:t>MANHÃ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6209"/>
        <w:gridCol w:w="237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08h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Mesa de Abertura da Oficina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08h15min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Sensibilização com os profissionais ao uso de bolsas coletoras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Rode Dilda Machado da Silva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– GAO/UFSC</w:t>
            </w:r>
            <w:r/>
          </w:p>
        </w:tc>
      </w:tr>
      <w:tr>
        <w:trPr>
          <w:trHeight w:val="537" w:hRule="atLeast"/>
        </w:trPr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08h40min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sz w:val="24"/>
                <w:szCs w:val="24"/>
              </w:rPr>
              <w:t>Anatomia e Fisiologia dos Sistemas intestinal e urinário</w:t>
            </w:r>
            <w:r/>
          </w:p>
        </w:tc>
        <w:tc>
          <w:tcPr>
            <w:tcW w:w="2376" w:type="dxa"/>
            <w:vMerge w:val="restart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Rode Dilda Machado da Silva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e </w:t>
            </w: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Tatiana Martins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– GAO/UFSC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09h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sz w:val="24"/>
                <w:szCs w:val="24"/>
              </w:rPr>
              <w:t>Indicação e tipos de estomias intestinais e urinários</w:t>
            </w:r>
            <w:r/>
          </w:p>
        </w:tc>
        <w:tc>
          <w:tcPr>
            <w:tcW w:w="2376" w:type="dxa"/>
            <w:vMerge w:val="continue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4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10h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4"/>
                <w:szCs w:val="24"/>
              </w:rPr>
              <w:t>Coffee break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4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10h20min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Avaliação, seleção e indicação dos equipamentos e dos adjuvantes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Margareth Linhares Martins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- GAO/UFSC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12h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4"/>
                <w:szCs w:val="24"/>
              </w:rPr>
              <w:t>Intervalo para Almoço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  <w:r/>
          </w:p>
        </w:tc>
      </w:tr>
    </w:tbl>
    <w:p>
      <w:pPr>
        <w:pStyle w:val="Normal"/>
        <w:spacing w:lineRule="auto" w:line="360" w:before="0" w:after="0"/>
        <w:rPr>
          <w:sz w:val="24"/>
          <w:b/>
          <w:sz w:val="24"/>
          <w:b/>
          <w:rFonts w:ascii="Arial" w:hAnsi="Arial" w:cs="Arial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  <w:spacing w:lineRule="auto" w:line="360" w:before="0" w:after="0"/>
      </w:pPr>
      <w:r>
        <w:rPr>
          <w:rFonts w:cs="Arial" w:ascii="Arial" w:hAnsi="Arial"/>
          <w:b/>
          <w:sz w:val="24"/>
        </w:rPr>
        <w:t>TARDE</w:t>
      </w:r>
      <w:r/>
    </w:p>
    <w:tbl>
      <w:tblPr>
        <w:tblStyle w:val="Tabelacomgrade"/>
        <w:tblW w:w="985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9"/>
        <w:gridCol w:w="6209"/>
        <w:gridCol w:w="2376"/>
      </w:tblGrid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13h30min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Complicações de estomias – lesões periestomais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Margareth Linhares Martins -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GAO/UFSC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14h30min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Aprendendo sobre a irrigação de estomias intestinais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Tatiana Martins -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GAO/UFSC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15h30min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Sistematização da Assistência de Enfermagem intra-hospitalar e ambulatorial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Breve abordagem nutricional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  <w:lang w:val="en-US"/>
              </w:rPr>
              <w:t>Enf</w:t>
            </w:r>
            <w:r>
              <w:rPr>
                <w:rFonts w:cs="Arial" w:ascii="Arial" w:hAnsi="Arial"/>
                <w:b/>
                <w:color w:val="000000"/>
                <w:sz w:val="20"/>
                <w:szCs w:val="24"/>
                <w:lang w:val="en-US"/>
              </w:rPr>
              <w:t xml:space="preserve">ª </w:t>
            </w: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Tatiana Martins</w:t>
            </w:r>
            <w:r>
              <w:rPr>
                <w:rFonts w:cs="Arial" w:ascii="Arial" w:hAnsi="Arial"/>
                <w:color w:val="000000"/>
                <w:sz w:val="20"/>
                <w:szCs w:val="24"/>
              </w:rPr>
              <w:t xml:space="preserve"> - GAO/UFSC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16h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4"/>
                <w:szCs w:val="24"/>
              </w:rPr>
              <w:t>Coffee break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4"/>
                <w:rFonts w:ascii="Arial" w:hAnsi="Arial" w:cs="Arial"/>
                <w:color w:val="FF3333"/>
              </w:rPr>
            </w:pPr>
            <w:r>
              <w:rPr>
                <w:rFonts w:cs="Arial" w:ascii="Arial" w:hAnsi="Arial"/>
                <w:color w:val="FF3333"/>
                <w:sz w:val="20"/>
                <w:szCs w:val="24"/>
              </w:rPr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16h20min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Sensibilização para o cuidado no uso do equipamento coletor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Grupo 01: 25 profissionais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Oficina de prática assistencial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Grupo 02: 25 profissionais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Tatiana Martins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4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4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4"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</w:rPr>
              <w:t>Margareth Linhares Martins</w:t>
            </w:r>
            <w:r/>
          </w:p>
        </w:tc>
      </w:tr>
      <w:tr>
        <w:trPr/>
        <w:tc>
          <w:tcPr>
            <w:tcW w:w="126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18h</w:t>
            </w:r>
            <w:r/>
          </w:p>
        </w:tc>
        <w:tc>
          <w:tcPr>
            <w:tcW w:w="620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4"/>
                <w:szCs w:val="24"/>
              </w:rPr>
              <w:t>Encerramento</w:t>
            </w:r>
            <w:r/>
          </w:p>
        </w:tc>
        <w:tc>
          <w:tcPr>
            <w:tcW w:w="237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20"/>
                <w:szCs w:val="24"/>
              </w:rPr>
              <w:t>ATPCD/SUR/SES</w:t>
            </w:r>
            <w:r/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2"/>
      <w:szCs w:val="22"/>
      <w:lang w:eastAsia="en-US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LibreOffice/4.3.4.1$Windows_x86 LibreOffice_project/bc356b2f991740509f321d70e4512a6a54c5f243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2015-09-21T08:22:12Z</dcterms:created>
  <dc:language>pt-BR</dc:language>
  <dcterms:modified xsi:type="dcterms:W3CDTF">2015-09-21T08:22:40Z</dcterms:modified>
  <cp:revision>1</cp:revision>
</cp:coreProperties>
</file>