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B75213" w:rsidRDefault="00A57D43" w:rsidP="00F12431">
            <w:pPr>
              <w:pStyle w:val="Ttulo1"/>
              <w:rPr>
                <w:b w:val="0"/>
                <w:sz w:val="22"/>
                <w:szCs w:val="22"/>
                <w:lang w:val="pt-BR"/>
              </w:rPr>
            </w:pPr>
            <w:r w:rsidRPr="00B75213">
              <w:rPr>
                <w:b w:val="0"/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B75213" w:rsidRPr="00417BA7" w:rsidRDefault="00872832" w:rsidP="00B75213">
      <w:pPr>
        <w:pStyle w:val="Recuodecorpodetexto"/>
        <w:spacing w:after="0"/>
        <w:ind w:left="0" w:firstLine="11"/>
        <w:jc w:val="center"/>
        <w:rPr>
          <w:color w:val="FF0000"/>
        </w:rPr>
      </w:pPr>
      <w:r w:rsidRPr="00B75213">
        <w:rPr>
          <w:b/>
          <w:color w:val="000000"/>
        </w:rPr>
        <w:t xml:space="preserve">DELIBERAÇÃO </w:t>
      </w:r>
      <w:r w:rsidR="007232AB" w:rsidRPr="00B75213">
        <w:rPr>
          <w:b/>
          <w:color w:val="000000"/>
        </w:rPr>
        <w:t>2</w:t>
      </w:r>
      <w:r w:rsidR="00467DA3" w:rsidRPr="00B75213">
        <w:rPr>
          <w:b/>
          <w:color w:val="000000"/>
        </w:rPr>
        <w:t>94</w:t>
      </w:r>
      <w:r w:rsidR="00D85351" w:rsidRPr="00B75213">
        <w:rPr>
          <w:b/>
          <w:color w:val="000000"/>
        </w:rPr>
        <w:t>/CIB/18</w:t>
      </w:r>
      <w:r w:rsidR="00B75213" w:rsidRPr="00B75213">
        <w:rPr>
          <w:b/>
          <w:bCs/>
        </w:rPr>
        <w:t>-</w:t>
      </w:r>
      <w:r w:rsidR="00B75213" w:rsidRPr="00417BA7">
        <w:rPr>
          <w:b/>
          <w:bCs/>
          <w:color w:val="FF0000"/>
        </w:rPr>
        <w:t>RETIFICAÇÃO</w:t>
      </w:r>
    </w:p>
    <w:p w:rsidR="00B75213" w:rsidRDefault="00B75213" w:rsidP="00E7220D">
      <w:pPr>
        <w:ind w:left="-142" w:right="-41"/>
        <w:jc w:val="both"/>
      </w:pPr>
    </w:p>
    <w:p w:rsidR="00B75213" w:rsidRPr="009C08AC" w:rsidRDefault="00E7220D" w:rsidP="00B75213">
      <w:pPr>
        <w:ind w:left="-142" w:right="-41"/>
        <w:jc w:val="both"/>
        <w:rPr>
          <w:b/>
          <w:color w:val="FF0000"/>
        </w:rPr>
      </w:pPr>
      <w:r>
        <w:t>A Comissão Intergestores</w:t>
      </w:r>
      <w:r w:rsidR="0005128A">
        <w:t xml:space="preserve"> </w:t>
      </w:r>
      <w:r>
        <w:t>Bipartite, no uso de suas atribuições, em sua 225ª reunião ordinári</w:t>
      </w:r>
      <w:r w:rsidR="009D617B">
        <w:t>a do dia 28 de novembro de 2018</w:t>
      </w:r>
      <w:r w:rsidR="009C08AC">
        <w:t xml:space="preserve"> </w:t>
      </w:r>
      <w:r w:rsidR="00B855DA">
        <w:t xml:space="preserve">E RATIFICA em </w:t>
      </w:r>
      <w:r w:rsidR="009C08AC">
        <w:t>22 de agosto de 2019</w:t>
      </w:r>
      <w:r w:rsidR="0005128A">
        <w:t xml:space="preserve"> RETIFICA o</w:t>
      </w:r>
      <w:r w:rsidR="009C08AC" w:rsidRPr="009C08AC">
        <w:t xml:space="preserve"> </w:t>
      </w:r>
      <w:r w:rsidR="009C08AC" w:rsidRPr="009C08AC">
        <w:rPr>
          <w:b/>
          <w:color w:val="FF0000"/>
        </w:rPr>
        <w:t>Protocolo de Acesso “Consulta em Oncologia Cirúrgica” anexo desta Deliberação, incluindo critérios de alta suspeição</w:t>
      </w:r>
      <w:r w:rsidR="00F108B6">
        <w:rPr>
          <w:b/>
          <w:color w:val="FF0000"/>
        </w:rPr>
        <w:t xml:space="preserve"> em oncologia</w:t>
      </w:r>
      <w:r w:rsidR="009C08AC" w:rsidRPr="009C08AC">
        <w:rPr>
          <w:b/>
          <w:color w:val="FF0000"/>
        </w:rPr>
        <w:t>.</w:t>
      </w:r>
    </w:p>
    <w:p w:rsidR="009C08AC" w:rsidRDefault="009C08AC" w:rsidP="00B75213">
      <w:pPr>
        <w:ind w:left="-142" w:right="-41"/>
        <w:jc w:val="both"/>
      </w:pPr>
    </w:p>
    <w:p w:rsidR="00B75213" w:rsidRPr="009D617B" w:rsidRDefault="00B75213" w:rsidP="00C453AD">
      <w:pPr>
        <w:ind w:left="567" w:right="-41"/>
        <w:jc w:val="both"/>
        <w:rPr>
          <w:b/>
          <w:color w:val="FF0000"/>
          <w:sz w:val="22"/>
          <w:szCs w:val="22"/>
        </w:rPr>
      </w:pPr>
      <w:r w:rsidRPr="009D617B">
        <w:rPr>
          <w:b/>
          <w:color w:val="FF0000"/>
          <w:sz w:val="22"/>
          <w:szCs w:val="22"/>
        </w:rPr>
        <w:t xml:space="preserve">Considerando Portaria MS n° 140, de 27/02/2014, que estabelece que as Secretarias de Estado da Saúde </w:t>
      </w:r>
      <w:proofErr w:type="gramStart"/>
      <w:r w:rsidRPr="009D617B">
        <w:rPr>
          <w:b/>
          <w:color w:val="FF0000"/>
          <w:sz w:val="22"/>
          <w:szCs w:val="22"/>
        </w:rPr>
        <w:t>devem</w:t>
      </w:r>
      <w:proofErr w:type="gramEnd"/>
      <w:r w:rsidRPr="009D617B">
        <w:rPr>
          <w:b/>
          <w:color w:val="FF0000"/>
          <w:sz w:val="22"/>
          <w:szCs w:val="22"/>
        </w:rPr>
        <w:t xml:space="preserve"> implantar processos regulatórios para garantir que pessoas com suspeita/diagnóstico de câncer possam ser encaminhadas para os estabelecimentos de saúde habilitados como CACON ou UNACON;</w:t>
      </w:r>
    </w:p>
    <w:p w:rsidR="00B75213" w:rsidRPr="009D617B" w:rsidRDefault="00B75213" w:rsidP="00C453AD">
      <w:pPr>
        <w:ind w:left="567" w:right="-41"/>
        <w:jc w:val="both"/>
        <w:rPr>
          <w:b/>
          <w:color w:val="FF0000"/>
          <w:sz w:val="22"/>
          <w:szCs w:val="22"/>
        </w:rPr>
      </w:pPr>
    </w:p>
    <w:p w:rsidR="00B75213" w:rsidRPr="009D617B" w:rsidRDefault="00B75213" w:rsidP="00C453AD">
      <w:pPr>
        <w:ind w:left="567" w:right="-41"/>
        <w:jc w:val="both"/>
        <w:rPr>
          <w:b/>
          <w:color w:val="FF0000"/>
          <w:sz w:val="22"/>
          <w:szCs w:val="22"/>
        </w:rPr>
      </w:pPr>
      <w:r w:rsidRPr="009D617B">
        <w:rPr>
          <w:b/>
          <w:color w:val="FF0000"/>
          <w:sz w:val="22"/>
          <w:szCs w:val="22"/>
        </w:rPr>
        <w:t>Considerando a extrema necessidade de padronização, em todo o Estado, de critérios para encaminhamento de Alta Suspeição em Oncologia, no âmbito do Sistema Único de Saúde - SUS;</w:t>
      </w:r>
    </w:p>
    <w:p w:rsidR="00B75213" w:rsidRPr="009D617B" w:rsidRDefault="00B75213" w:rsidP="00C453AD">
      <w:pPr>
        <w:ind w:left="567" w:right="-41"/>
        <w:jc w:val="both"/>
        <w:rPr>
          <w:b/>
          <w:color w:val="FF0000"/>
          <w:sz w:val="22"/>
          <w:szCs w:val="22"/>
        </w:rPr>
      </w:pPr>
    </w:p>
    <w:p w:rsidR="00AB3AAA" w:rsidRPr="009D617B" w:rsidRDefault="00AB3AAA" w:rsidP="00AB3AAA">
      <w:pPr>
        <w:widowControl w:val="0"/>
        <w:tabs>
          <w:tab w:val="left" w:pos="567"/>
          <w:tab w:val="left" w:pos="1134"/>
        </w:tabs>
        <w:ind w:left="539"/>
        <w:jc w:val="both"/>
        <w:rPr>
          <w:rFonts w:eastAsia="Lucida Sans Unicode" w:cs="Mangal"/>
          <w:color w:val="000000"/>
          <w:sz w:val="22"/>
          <w:szCs w:val="22"/>
          <w:lang w:eastAsia="hi-IN" w:bidi="hi-IN"/>
        </w:rPr>
      </w:pPr>
      <w:r w:rsidRPr="009D617B">
        <w:rPr>
          <w:sz w:val="22"/>
          <w:szCs w:val="22"/>
        </w:rPr>
        <w:t>Considerando a Política Nacional de Regulação instituída pela Portaria GM/MSn°1.559, de 1° de agosto de 2008, que</w:t>
      </w:r>
      <w:r w:rsidRPr="009D617B">
        <w:rPr>
          <w:rFonts w:eastAsia="Lucida Sans Unicode" w:cs="Mangal"/>
          <w:color w:val="000000"/>
          <w:sz w:val="22"/>
          <w:szCs w:val="22"/>
          <w:lang w:eastAsia="hi-IN" w:bidi="hi-IN"/>
        </w:rPr>
        <w:t xml:space="preserve"> prevê a operacionalização da regulação do acesso por meio de Centrais de Regulação;</w:t>
      </w:r>
    </w:p>
    <w:p w:rsidR="00AB3AAA" w:rsidRPr="009D617B" w:rsidRDefault="00AB3AAA" w:rsidP="00AB3AAA">
      <w:pPr>
        <w:widowControl w:val="0"/>
        <w:tabs>
          <w:tab w:val="left" w:pos="1134"/>
        </w:tabs>
        <w:ind w:left="539"/>
        <w:jc w:val="both"/>
        <w:rPr>
          <w:rFonts w:eastAsia="Lucida Sans Unicode" w:cs="Mangal"/>
          <w:color w:val="000000"/>
          <w:sz w:val="22"/>
          <w:szCs w:val="22"/>
          <w:lang w:eastAsia="hi-IN" w:bidi="hi-IN"/>
        </w:rPr>
      </w:pPr>
    </w:p>
    <w:p w:rsidR="00AB3AAA" w:rsidRPr="009D617B" w:rsidRDefault="00AB3AAA" w:rsidP="00AB3AAA">
      <w:pPr>
        <w:widowControl w:val="0"/>
        <w:tabs>
          <w:tab w:val="left" w:pos="1134"/>
        </w:tabs>
        <w:ind w:left="539"/>
        <w:jc w:val="both"/>
        <w:rPr>
          <w:sz w:val="22"/>
          <w:szCs w:val="22"/>
        </w:rPr>
      </w:pPr>
      <w:r w:rsidRPr="009D617B">
        <w:rPr>
          <w:sz w:val="22"/>
          <w:szCs w:val="22"/>
        </w:rPr>
        <w:t>Considerando a Deliberação n° 40/CIB/13, de 21 de fevereiro de 2013, que aprova o Plano de Organização das Centrais de Regulação para o Estado de Santa Catarina;</w:t>
      </w:r>
    </w:p>
    <w:p w:rsidR="00AB3AAA" w:rsidRPr="009D617B" w:rsidRDefault="00AB3AAA" w:rsidP="00AB3AAA">
      <w:pPr>
        <w:widowControl w:val="0"/>
        <w:tabs>
          <w:tab w:val="left" w:pos="1134"/>
        </w:tabs>
        <w:ind w:left="539"/>
        <w:jc w:val="both"/>
        <w:rPr>
          <w:sz w:val="22"/>
          <w:szCs w:val="22"/>
        </w:rPr>
      </w:pPr>
    </w:p>
    <w:p w:rsidR="00AB3AAA" w:rsidRPr="009D617B" w:rsidRDefault="00AB3AAA" w:rsidP="00AB3AAA">
      <w:pPr>
        <w:widowControl w:val="0"/>
        <w:tabs>
          <w:tab w:val="left" w:pos="1134"/>
        </w:tabs>
        <w:ind w:left="539"/>
        <w:jc w:val="both"/>
        <w:rPr>
          <w:sz w:val="22"/>
          <w:szCs w:val="22"/>
        </w:rPr>
      </w:pPr>
      <w:r w:rsidRPr="009D617B">
        <w:rPr>
          <w:sz w:val="22"/>
          <w:szCs w:val="22"/>
        </w:rPr>
        <w:t xml:space="preserve">Considerando a Deliberação n° 370/CIB/13, de 22 de agosto de 2013, que alterara o escopo estabelecido para organização das Centrais de Regulação Macrorregionais nos Capítulos 3 e </w:t>
      </w:r>
      <w:proofErr w:type="gramStart"/>
      <w:r w:rsidRPr="009D617B">
        <w:rPr>
          <w:sz w:val="22"/>
          <w:szCs w:val="22"/>
        </w:rPr>
        <w:t>6</w:t>
      </w:r>
      <w:proofErr w:type="gramEnd"/>
      <w:r w:rsidRPr="009D617B">
        <w:rPr>
          <w:sz w:val="22"/>
          <w:szCs w:val="22"/>
        </w:rPr>
        <w:t xml:space="preserve"> do Plano Estadual anexo à Deliberação nº 40/CIB de 21 de fevereiro de 2013;</w:t>
      </w:r>
    </w:p>
    <w:p w:rsidR="00AB3AAA" w:rsidRPr="009D617B" w:rsidRDefault="00AB3AAA" w:rsidP="00AB3AAA">
      <w:pPr>
        <w:widowControl w:val="0"/>
        <w:tabs>
          <w:tab w:val="left" w:pos="1134"/>
        </w:tabs>
        <w:ind w:left="539"/>
        <w:jc w:val="both"/>
        <w:rPr>
          <w:sz w:val="22"/>
          <w:szCs w:val="22"/>
        </w:rPr>
      </w:pPr>
    </w:p>
    <w:p w:rsidR="00AB3AAA" w:rsidRPr="009D617B" w:rsidRDefault="00AB3AAA" w:rsidP="00AB3AAA">
      <w:pPr>
        <w:widowControl w:val="0"/>
        <w:tabs>
          <w:tab w:val="left" w:pos="1134"/>
        </w:tabs>
        <w:ind w:left="539"/>
        <w:jc w:val="both"/>
        <w:rPr>
          <w:sz w:val="22"/>
          <w:szCs w:val="22"/>
        </w:rPr>
      </w:pPr>
      <w:r w:rsidRPr="009D617B">
        <w:rPr>
          <w:sz w:val="22"/>
          <w:szCs w:val="22"/>
        </w:rPr>
        <w:t>Considerando a Deliberação n° 132/CIB/15, de 29 de junho de 2015, que cria a Câmara Técnica de Regulação objetivando a discussão contínua sobre a gestão do acesso e as implicações da regulação nos diferentes níveis de atenção a saúde;</w:t>
      </w:r>
    </w:p>
    <w:p w:rsidR="00AB3AAA" w:rsidRPr="009D617B" w:rsidRDefault="00AB3AAA" w:rsidP="00AB3AAA">
      <w:pPr>
        <w:widowControl w:val="0"/>
        <w:tabs>
          <w:tab w:val="left" w:pos="1134"/>
        </w:tabs>
        <w:ind w:left="539"/>
        <w:jc w:val="both"/>
        <w:rPr>
          <w:sz w:val="22"/>
          <w:szCs w:val="22"/>
        </w:rPr>
      </w:pPr>
    </w:p>
    <w:p w:rsidR="00AB3AAA" w:rsidRPr="009D617B" w:rsidRDefault="00AB3AAA" w:rsidP="00B75213">
      <w:pPr>
        <w:tabs>
          <w:tab w:val="left" w:pos="567"/>
        </w:tabs>
        <w:adjustRightInd w:val="0"/>
        <w:ind w:left="539" w:firstLine="28"/>
        <w:jc w:val="both"/>
        <w:rPr>
          <w:sz w:val="22"/>
          <w:szCs w:val="22"/>
        </w:rPr>
      </w:pPr>
      <w:r w:rsidRPr="009D617B">
        <w:rPr>
          <w:sz w:val="22"/>
          <w:szCs w:val="22"/>
        </w:rPr>
        <w:t xml:space="preserve">Considerando que as Centrais de Regulação são responsáveis pela identificação da </w:t>
      </w:r>
      <w:r w:rsidRPr="009D617B">
        <w:rPr>
          <w:sz w:val="22"/>
          <w:szCs w:val="22"/>
        </w:rPr>
        <w:tab/>
        <w:t>alternativa assistencial mais adequada à necessidade do cidadão, fundamentada em protocolos assistenciais que podem ser categorizados como Protocolos Clínicos e Protocolos de Regulação do Acesso;</w:t>
      </w:r>
    </w:p>
    <w:p w:rsidR="00B75213" w:rsidRPr="009D617B" w:rsidRDefault="00B75213" w:rsidP="00B75213">
      <w:pPr>
        <w:tabs>
          <w:tab w:val="left" w:pos="567"/>
        </w:tabs>
        <w:adjustRightInd w:val="0"/>
        <w:ind w:left="539" w:firstLine="28"/>
        <w:jc w:val="both"/>
        <w:rPr>
          <w:sz w:val="22"/>
          <w:szCs w:val="22"/>
        </w:rPr>
      </w:pPr>
    </w:p>
    <w:p w:rsidR="00AB3AAA" w:rsidRPr="009D617B" w:rsidRDefault="00AB3AAA" w:rsidP="00B75213">
      <w:pPr>
        <w:tabs>
          <w:tab w:val="left" w:pos="567"/>
        </w:tabs>
        <w:adjustRightInd w:val="0"/>
        <w:ind w:left="567"/>
        <w:jc w:val="both"/>
        <w:rPr>
          <w:sz w:val="22"/>
          <w:szCs w:val="22"/>
        </w:rPr>
      </w:pPr>
      <w:r w:rsidRPr="009D617B">
        <w:rPr>
          <w:sz w:val="22"/>
          <w:szCs w:val="22"/>
        </w:rPr>
        <w:t xml:space="preserve">Considerando que os Protocolos Clínicos são recomendações sistematicamente desenvolvidas com objetivo de orientação de médicos e pacientes acerca de cuidados de saúde apropriados em circunstâncias clínicas específicas. E, os Protocolos de Regulação de Acesso são diretrizes para solicitar e usar, adequada e </w:t>
      </w:r>
      <w:proofErr w:type="gramStart"/>
      <w:r w:rsidRPr="009D617B">
        <w:rPr>
          <w:sz w:val="22"/>
          <w:szCs w:val="22"/>
        </w:rPr>
        <w:t>racionalmente,</w:t>
      </w:r>
      <w:proofErr w:type="gramEnd"/>
      <w:r w:rsidRPr="009D617B">
        <w:rPr>
          <w:sz w:val="22"/>
          <w:szCs w:val="22"/>
        </w:rPr>
        <w:t>as tecnologias de apoio, diagnóstico e terapias especializadas, constituindo-se como instrumento de ordenação dos fluxos de encaminhamentos entre os níveis de complexidade assistencial, orientando os atos dos profissionais que fazem parte dos Protocolos Clínicos;</w:t>
      </w:r>
    </w:p>
    <w:p w:rsidR="00AB3AAA" w:rsidRPr="009D617B" w:rsidRDefault="00AB3AAA" w:rsidP="00AB3AAA">
      <w:pPr>
        <w:adjustRightInd w:val="0"/>
        <w:ind w:firstLine="709"/>
        <w:jc w:val="both"/>
        <w:rPr>
          <w:sz w:val="22"/>
          <w:szCs w:val="22"/>
        </w:rPr>
      </w:pPr>
    </w:p>
    <w:p w:rsidR="00AB3AAA" w:rsidRDefault="00AB3AAA" w:rsidP="00AB3AAA">
      <w:pPr>
        <w:tabs>
          <w:tab w:val="left" w:pos="567"/>
        </w:tabs>
        <w:adjustRightInd w:val="0"/>
        <w:ind w:left="567"/>
        <w:jc w:val="both"/>
        <w:rPr>
          <w:sz w:val="22"/>
          <w:szCs w:val="22"/>
        </w:rPr>
      </w:pPr>
      <w:r w:rsidRPr="009D617B">
        <w:rPr>
          <w:sz w:val="22"/>
          <w:szCs w:val="22"/>
        </w:rPr>
        <w:t>Considerando a necessidade de padronizar as ações regulatórias no Estado de Santa Catarina, bem como disponibilizar atenção à saúde de forma oportuna, ágil e adequada às necessidades dos usuários do Sistema Único de Saúde.</w:t>
      </w:r>
    </w:p>
    <w:p w:rsidR="009C08AC" w:rsidRDefault="009C08AC" w:rsidP="00AB3AAA">
      <w:pPr>
        <w:tabs>
          <w:tab w:val="left" w:pos="567"/>
        </w:tabs>
        <w:adjustRightInd w:val="0"/>
        <w:ind w:left="567"/>
        <w:jc w:val="both"/>
        <w:rPr>
          <w:sz w:val="22"/>
          <w:szCs w:val="22"/>
        </w:rPr>
      </w:pPr>
    </w:p>
    <w:p w:rsidR="00AB3AAA" w:rsidRDefault="00AB3AAA" w:rsidP="00C453A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APROVA</w:t>
      </w:r>
    </w:p>
    <w:p w:rsidR="00AB3AAA" w:rsidRDefault="00AB3AAA" w:rsidP="00C453AD">
      <w:pPr>
        <w:tabs>
          <w:tab w:val="left" w:pos="1815"/>
        </w:tabs>
        <w:jc w:val="both"/>
      </w:pPr>
      <w:bookmarkStart w:id="0" w:name="_GoBack"/>
      <w:bookmarkEnd w:id="0"/>
      <w:r w:rsidRPr="002E69E7">
        <w:rPr>
          <w:b/>
        </w:rPr>
        <w:t>Art. 1º</w:t>
      </w:r>
      <w:r>
        <w:t xml:space="preserve">O décimo lote de Protocolos </w:t>
      </w:r>
      <w:r w:rsidRPr="000D4F0C">
        <w:t xml:space="preserve">de </w:t>
      </w:r>
      <w:r>
        <w:t>A</w:t>
      </w:r>
      <w:r w:rsidRPr="000D4F0C">
        <w:t>cesso</w:t>
      </w:r>
      <w:r w:rsidR="009D617B">
        <w:t xml:space="preserve"> </w:t>
      </w:r>
      <w:r>
        <w:t>(EM ANEXO),</w:t>
      </w:r>
      <w:r w:rsidRPr="000D4F0C">
        <w:t xml:space="preserve"> a serem utilizados </w:t>
      </w:r>
      <w:r>
        <w:t xml:space="preserve">pela Atenção Primária à Saúde (APS), Estratégia Saúde da Família, Equipe Saúde Bucal e por </w:t>
      </w:r>
      <w:r>
        <w:lastRenderedPageBreak/>
        <w:t xml:space="preserve">todas as </w:t>
      </w:r>
      <w:r w:rsidRPr="000D4F0C">
        <w:t xml:space="preserve">Centrais de Regulação </w:t>
      </w:r>
      <w:r>
        <w:t xml:space="preserve">Ambulatoriais </w:t>
      </w:r>
      <w:r w:rsidRPr="000D4F0C">
        <w:t>do Estado</w:t>
      </w:r>
      <w:r>
        <w:t xml:space="preserve"> de Santa Catarina, das seguintes especialidades:</w:t>
      </w:r>
    </w:p>
    <w:p w:rsidR="00AB3AAA" w:rsidRDefault="00AB3AAA" w:rsidP="00AB3AAA">
      <w:pPr>
        <w:ind w:left="-142" w:right="-142" w:firstLine="142"/>
        <w:jc w:val="both"/>
        <w:rPr>
          <w:b/>
        </w:rPr>
      </w:pPr>
    </w:p>
    <w:p w:rsidR="00AB3AAA" w:rsidRDefault="00AB3AAA" w:rsidP="00AB3AAA">
      <w:pPr>
        <w:ind w:left="-142" w:right="-142" w:firstLine="142"/>
        <w:jc w:val="both"/>
        <w:rPr>
          <w:b/>
        </w:rPr>
      </w:pPr>
      <w:r w:rsidRPr="00AA2F21">
        <w:rPr>
          <w:b/>
        </w:rPr>
        <w:t>I - Especialidades médicas clínicas:</w:t>
      </w:r>
    </w:p>
    <w:p w:rsidR="00AB3AAA" w:rsidRDefault="00AB3AAA" w:rsidP="00AB3AAA">
      <w:pPr>
        <w:ind w:left="-142" w:right="-142" w:firstLine="142"/>
        <w:jc w:val="both"/>
        <w:rPr>
          <w:b/>
        </w:rPr>
      </w:pPr>
    </w:p>
    <w:p w:rsidR="00AB3AAA" w:rsidRDefault="00AB3AAA" w:rsidP="00AB3AAA">
      <w:pPr>
        <w:jc w:val="both"/>
      </w:pPr>
      <w:r>
        <w:t>- Consulta em Cardiologia - Cirurgia Cardíaca</w:t>
      </w:r>
    </w:p>
    <w:p w:rsidR="00AB3AAA" w:rsidRPr="00107477" w:rsidRDefault="00AB3AAA" w:rsidP="00AB3AAA">
      <w:pPr>
        <w:jc w:val="both"/>
      </w:pPr>
      <w:r>
        <w:t>- Consulta em Oncologia Cirúrgica</w:t>
      </w:r>
    </w:p>
    <w:p w:rsidR="00AB3AAA" w:rsidRPr="00BE31B0" w:rsidRDefault="00AB3AAA" w:rsidP="00AB3AAA">
      <w:r>
        <w:t>- Consulta em Fonoaudiologia Cuidados Paliativos e F</w:t>
      </w:r>
      <w:r w:rsidRPr="00BE31B0">
        <w:t>renulo lingual</w:t>
      </w:r>
    </w:p>
    <w:p w:rsidR="00AB3AAA" w:rsidRDefault="00AB3AAA" w:rsidP="00AB3AAA"/>
    <w:p w:rsidR="00AB3AAA" w:rsidRDefault="00AB3AAA" w:rsidP="00AB3AAA">
      <w:pPr>
        <w:ind w:left="-142" w:right="-142" w:firstLine="142"/>
        <w:jc w:val="both"/>
        <w:rPr>
          <w:b/>
        </w:rPr>
      </w:pPr>
      <w:r>
        <w:rPr>
          <w:b/>
        </w:rPr>
        <w:t xml:space="preserve">II </w:t>
      </w:r>
      <w:r w:rsidRPr="006F0884">
        <w:rPr>
          <w:b/>
        </w:rPr>
        <w:t>- Exames</w:t>
      </w:r>
      <w:r>
        <w:rPr>
          <w:b/>
        </w:rPr>
        <w:t>:</w:t>
      </w:r>
    </w:p>
    <w:p w:rsidR="00AB3AAA" w:rsidRDefault="00AB3AAA" w:rsidP="00AB3AAA">
      <w:pPr>
        <w:jc w:val="both"/>
        <w:rPr>
          <w:b/>
        </w:rPr>
      </w:pPr>
    </w:p>
    <w:p w:rsidR="00AB3AAA" w:rsidRPr="00BE31B0" w:rsidRDefault="00AB3AAA" w:rsidP="00AB3AAA">
      <w:pPr>
        <w:jc w:val="both"/>
      </w:pPr>
      <w:r w:rsidRPr="00D05306">
        <w:t>-</w:t>
      </w:r>
      <w:r w:rsidRPr="00BE31B0">
        <w:t>Audiometria Infantil (Revisão)</w:t>
      </w:r>
    </w:p>
    <w:p w:rsidR="00AB3AAA" w:rsidRDefault="00AB3AAA" w:rsidP="00AB3AAA">
      <w:pPr>
        <w:jc w:val="both"/>
      </w:pPr>
      <w:r>
        <w:t xml:space="preserve">- Endoscopia Digestiva Alta Adulto (Revisão) </w:t>
      </w:r>
    </w:p>
    <w:p w:rsidR="00AB3AAA" w:rsidRDefault="00AB3AAA" w:rsidP="00AB3AAA">
      <w:pPr>
        <w:jc w:val="both"/>
      </w:pPr>
      <w:r w:rsidRPr="00D05306">
        <w:t>-</w:t>
      </w:r>
      <w:r>
        <w:t>Endoscopia Digestiva Alta Pediátrica</w:t>
      </w:r>
    </w:p>
    <w:p w:rsidR="00AB3AAA" w:rsidRPr="00BE31B0" w:rsidRDefault="00AB3AAA" w:rsidP="00AB3AAA">
      <w:r>
        <w:t>- Teste de P</w:t>
      </w:r>
      <w:r w:rsidRPr="00BE31B0">
        <w:t xml:space="preserve">rocessamento </w:t>
      </w:r>
      <w:r>
        <w:t>A</w:t>
      </w:r>
      <w:r w:rsidRPr="00BE31B0">
        <w:t>uditivo</w:t>
      </w:r>
      <w:r>
        <w:t xml:space="preserve"> Pediatria</w:t>
      </w:r>
    </w:p>
    <w:p w:rsidR="00AB3AAA" w:rsidRPr="006F0884" w:rsidRDefault="00AB3AAA" w:rsidP="00AB3AAA">
      <w:pPr>
        <w:spacing w:before="240" w:after="120"/>
        <w:ind w:left="-142" w:right="-142"/>
        <w:jc w:val="both"/>
      </w:pPr>
      <w:r>
        <w:rPr>
          <w:b/>
        </w:rPr>
        <w:t>P</w:t>
      </w:r>
      <w:r w:rsidRPr="00A5097E">
        <w:rPr>
          <w:b/>
        </w:rPr>
        <w:t>a</w:t>
      </w:r>
      <w:r>
        <w:rPr>
          <w:b/>
        </w:rPr>
        <w:t>r</w:t>
      </w:r>
      <w:r w:rsidRPr="00A5097E">
        <w:rPr>
          <w:b/>
        </w:rPr>
        <w:t>ágrafo Único</w:t>
      </w:r>
      <w:r w:rsidRPr="006F0884">
        <w:t>: Os Protocolos de Acesso são compostos por duas partes, uma voltada para a Assistência, com orientações de como o profissional assistente deverá encaminhar o paciente</w:t>
      </w:r>
      <w:r>
        <w:t xml:space="preserve"> para a especialidade e a outra</w:t>
      </w:r>
      <w:r w:rsidRPr="006F0884">
        <w:t>, voltada para os médicos reguladores, que indica ao profissional como classificar o risco referente aos casos encaminhados pela Assistência. Ambas as partes são complementares.</w:t>
      </w:r>
    </w:p>
    <w:p w:rsidR="00AB3AAA" w:rsidRDefault="00AB3AAA" w:rsidP="00AB3AAA">
      <w:pPr>
        <w:spacing w:before="240" w:after="120"/>
        <w:ind w:left="-142" w:right="-142"/>
        <w:jc w:val="both"/>
      </w:pPr>
      <w:r>
        <w:rPr>
          <w:b/>
        </w:rPr>
        <w:t xml:space="preserve">Art. 2º </w:t>
      </w:r>
      <w:r w:rsidRPr="00A5097E">
        <w:t>As Centrais de Regulação Ambu</w:t>
      </w:r>
      <w:r>
        <w:t>latoriais Municipais</w:t>
      </w:r>
      <w:r w:rsidRPr="00A5097E">
        <w:t xml:space="preserve"> implantadas e com funcionamento anterior a publicação desta deliberação, terão </w:t>
      </w:r>
      <w:r w:rsidRPr="00EC0F75">
        <w:t xml:space="preserve">o prazo de </w:t>
      </w:r>
      <w:r w:rsidRPr="003F1218">
        <w:t>02 meses,</w:t>
      </w:r>
      <w:r w:rsidRPr="00A5097E">
        <w:t xml:space="preserve"> a contar da data de </w:t>
      </w:r>
      <w:r>
        <w:t>publicação desta d</w:t>
      </w:r>
      <w:r w:rsidRPr="00A5097E">
        <w:t xml:space="preserve">eliberação, para </w:t>
      </w:r>
      <w:r>
        <w:t>adotarem estes Protocolos e replicarem para a APS de sua área de abrangência. As Centrais de R</w:t>
      </w:r>
      <w:r w:rsidRPr="00A5097E">
        <w:t>egulaçãoAmbulatoriais</w:t>
      </w:r>
      <w:r>
        <w:t xml:space="preserve"> que forem </w:t>
      </w:r>
      <w:r w:rsidRPr="00A5097E">
        <w:t xml:space="preserve">implantadas </w:t>
      </w:r>
      <w:r>
        <w:t xml:space="preserve">posteriormente a data de publicação desta deliberação, já </w:t>
      </w:r>
      <w:r w:rsidRPr="00A5097E">
        <w:t xml:space="preserve">deverão adotar </w:t>
      </w:r>
      <w:r>
        <w:t xml:space="preserve">os Protocolos de Acesso </w:t>
      </w:r>
      <w:r w:rsidRPr="00A5097E">
        <w:t>descrit</w:t>
      </w:r>
      <w:r>
        <w:t>os</w:t>
      </w:r>
      <w:r w:rsidRPr="00A5097E">
        <w:t xml:space="preserve"> no caput deste artigo</w:t>
      </w:r>
      <w:r>
        <w:t>.</w:t>
      </w:r>
    </w:p>
    <w:p w:rsidR="00AB3AAA" w:rsidRDefault="00AB3AAA" w:rsidP="00AB3AAA">
      <w:pPr>
        <w:spacing w:before="240" w:after="120"/>
        <w:ind w:left="-142" w:right="-142"/>
        <w:jc w:val="both"/>
      </w:pPr>
      <w:r w:rsidRPr="00A5097E">
        <w:rPr>
          <w:b/>
        </w:rPr>
        <w:t xml:space="preserve">Art. </w:t>
      </w:r>
      <w:r>
        <w:rPr>
          <w:b/>
        </w:rPr>
        <w:t>3</w:t>
      </w:r>
      <w:r w:rsidRPr="00A5097E">
        <w:rPr>
          <w:b/>
        </w:rPr>
        <w:t>º</w:t>
      </w:r>
      <w:r>
        <w:t>A elaboração dos Protocolos de Acesso é um processo contínuo e se estenderá durante o ano de 2018, devendo ser apresentado à CIB suas respectivas alterações e/ou inclusões, após aprovação em Câmara Técnica de Regulação, sob responsabilidade da Coordenação Médica da Central Estadual de Regulação Ambulatorial (CERA).</w:t>
      </w:r>
    </w:p>
    <w:p w:rsidR="00AB3AAA" w:rsidRDefault="00AB3AAA" w:rsidP="00AB3AAA">
      <w:pPr>
        <w:spacing w:before="240" w:after="120"/>
        <w:ind w:left="-142" w:right="-142"/>
        <w:jc w:val="both"/>
      </w:pPr>
      <w:r w:rsidRPr="00A5097E">
        <w:rPr>
          <w:b/>
        </w:rPr>
        <w:t>Parágrafo Único:</w:t>
      </w:r>
      <w:r>
        <w:t>Poderão atuar como colaboradores na elaboração dos Protocolos de Acesso, médicos especialistas, professores universitários, representantes de entidades médicas e outros profissionais especialistas que a Coordenação Médica da CERA julgar necessário, não havendo restrição no quantitativo destes profissionais.</w:t>
      </w:r>
    </w:p>
    <w:p w:rsidR="008F55BA" w:rsidRDefault="00AB3AAA" w:rsidP="009D617B">
      <w:pPr>
        <w:ind w:left="-142" w:right="-41"/>
        <w:jc w:val="both"/>
      </w:pPr>
      <w:r w:rsidRPr="00C13E5B">
        <w:rPr>
          <w:b/>
        </w:rPr>
        <w:t>Art</w:t>
      </w:r>
      <w:r>
        <w:rPr>
          <w:b/>
        </w:rPr>
        <w:t>.</w:t>
      </w:r>
      <w:r w:rsidRPr="00C13E5B">
        <w:rPr>
          <w:b/>
        </w:rPr>
        <w:t xml:space="preserve"> 4º</w:t>
      </w:r>
      <w:r w:rsidRPr="006F0884">
        <w:t>A partir da implantação dos protocolos, os encaminhamentos que não estiverem de acordo com os mesmos, serão devolvidos pelos médicos reguladores para inclusão dos dados clínicos e/ou exames complementares necessários para a adequada avaliação e classificação de risco. Os encaminhamentos</w:t>
      </w:r>
      <w:r>
        <w:t>,</w:t>
      </w:r>
      <w:r w:rsidRPr="006F0884">
        <w:t xml:space="preserve"> cuja indicação clínica não esteja</w:t>
      </w:r>
      <w:r>
        <w:t xml:space="preserve">m </w:t>
      </w:r>
      <w:proofErr w:type="gramStart"/>
      <w:r>
        <w:t>contemplada</w:t>
      </w:r>
      <w:r w:rsidRPr="006F0884">
        <w:t>s no protocolo da especialidade solicitada</w:t>
      </w:r>
      <w:proofErr w:type="gramEnd"/>
      <w:r>
        <w:t>,</w:t>
      </w:r>
      <w:r w:rsidRPr="006F0884">
        <w:t xml:space="preserve"> serão devolvidos para acompanhamento na Atenção Básica e/ou reinseridos na especialidade correta.</w:t>
      </w:r>
    </w:p>
    <w:p w:rsidR="00B75213" w:rsidRDefault="00B75213" w:rsidP="00B75213">
      <w:pPr>
        <w:ind w:left="4108" w:firstLine="140"/>
        <w:jc w:val="both"/>
      </w:pPr>
      <w:r w:rsidRPr="001345B8">
        <w:t xml:space="preserve">Florianópolis, </w:t>
      </w:r>
      <w:r w:rsidR="00DD41DF">
        <w:t>22</w:t>
      </w:r>
      <w:r w:rsidRPr="001345B8">
        <w:t xml:space="preserve"> de </w:t>
      </w:r>
      <w:r w:rsidR="00DD41DF">
        <w:t>agosto</w:t>
      </w:r>
      <w:r w:rsidRPr="001345B8">
        <w:t xml:space="preserve"> de 2019.</w:t>
      </w:r>
    </w:p>
    <w:p w:rsidR="00B855DA" w:rsidRDefault="00B855DA" w:rsidP="00B75213">
      <w:pPr>
        <w:ind w:left="4108" w:firstLine="140"/>
        <w:jc w:val="both"/>
      </w:pPr>
    </w:p>
    <w:p w:rsidR="00B75213" w:rsidRPr="00223ACE" w:rsidRDefault="00B75213" w:rsidP="00B75213">
      <w:pPr>
        <w:ind w:left="4108" w:firstLine="140"/>
        <w:jc w:val="both"/>
        <w:rPr>
          <w:rFonts w:ascii="Arial" w:hAnsi="Arial" w:cs="Arial"/>
        </w:rPr>
      </w:pPr>
    </w:p>
    <w:p w:rsidR="00B75213" w:rsidRPr="00223ACE" w:rsidRDefault="00B75213" w:rsidP="00B75213">
      <w:pPr>
        <w:ind w:left="-140"/>
        <w:jc w:val="both"/>
        <w:rPr>
          <w:rFonts w:ascii="Arial" w:hAnsi="Arial" w:cs="Arial"/>
        </w:rPr>
      </w:pPr>
      <w:r w:rsidRPr="00223ACE">
        <w:rPr>
          <w:rFonts w:ascii="Arial" w:hAnsi="Arial" w:cs="Arial"/>
          <w:b/>
          <w:lang w:eastAsia="pt-BR"/>
        </w:rPr>
        <w:tab/>
      </w:r>
      <w:r w:rsidRPr="00223ACE">
        <w:rPr>
          <w:rFonts w:ascii="Arial" w:hAnsi="Arial" w:cs="Arial"/>
          <w:b/>
          <w:lang w:eastAsia="pt-BR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B75213" w:rsidRPr="00223ACE" w:rsidTr="000846FE">
        <w:tc>
          <w:tcPr>
            <w:tcW w:w="4298" w:type="dxa"/>
            <w:shd w:val="clear" w:color="auto" w:fill="auto"/>
          </w:tcPr>
          <w:p w:rsidR="00B75213" w:rsidRPr="00223ACE" w:rsidRDefault="00B75213" w:rsidP="000846FE">
            <w:pPr>
              <w:snapToGrid w:val="0"/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/>
                <w:bCs/>
              </w:rPr>
              <w:t>HELTON DE SOUZA ZEFERINO</w:t>
            </w:r>
          </w:p>
        </w:tc>
        <w:tc>
          <w:tcPr>
            <w:tcW w:w="4346" w:type="dxa"/>
            <w:shd w:val="clear" w:color="auto" w:fill="auto"/>
          </w:tcPr>
          <w:p w:rsidR="00B75213" w:rsidRPr="00223ACE" w:rsidRDefault="00B75213" w:rsidP="000846FE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/>
              </w:rPr>
              <w:t>ALEXANDRE FAGUNDES</w:t>
            </w:r>
          </w:p>
        </w:tc>
      </w:tr>
      <w:tr w:rsidR="00B75213" w:rsidRPr="00223ACE" w:rsidTr="000846FE">
        <w:tc>
          <w:tcPr>
            <w:tcW w:w="4298" w:type="dxa"/>
            <w:shd w:val="clear" w:color="auto" w:fill="auto"/>
          </w:tcPr>
          <w:p w:rsidR="00B75213" w:rsidRPr="00223ACE" w:rsidRDefault="00B75213" w:rsidP="000846FE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Cs/>
              </w:rPr>
              <w:t>Secretário de Estado da Saúde Coordenador CIB/SES</w:t>
            </w:r>
          </w:p>
          <w:p w:rsidR="00B75213" w:rsidRPr="00223ACE" w:rsidRDefault="00B75213" w:rsidP="000846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6" w:type="dxa"/>
            <w:shd w:val="clear" w:color="auto" w:fill="auto"/>
          </w:tcPr>
          <w:p w:rsidR="00B75213" w:rsidRPr="00223ACE" w:rsidRDefault="00B75213" w:rsidP="000846FE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Cs/>
              </w:rPr>
              <w:t>Presidente do COSEMS</w:t>
            </w:r>
          </w:p>
          <w:p w:rsidR="00B75213" w:rsidRPr="00223ACE" w:rsidRDefault="00B75213" w:rsidP="000846FE">
            <w:pPr>
              <w:jc w:val="center"/>
              <w:rPr>
                <w:rFonts w:ascii="Arial" w:hAnsi="Arial" w:cs="Arial"/>
                <w:bCs/>
              </w:rPr>
            </w:pPr>
            <w:r w:rsidRPr="00223ACE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128A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B7FF5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64BF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35B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7F7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8AC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4DAA"/>
    <w:rsid w:val="009D526B"/>
    <w:rsid w:val="009D593F"/>
    <w:rsid w:val="009D5B58"/>
    <w:rsid w:val="009D5D15"/>
    <w:rsid w:val="009D617B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7F2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2DF8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5213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5DA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53AD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2F7C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41DF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08B6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E1A6-3F9E-4728-9EC4-7268DBBF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2018-07-17T18:48:00Z</cp:lastPrinted>
  <dcterms:created xsi:type="dcterms:W3CDTF">2019-08-23T17:21:00Z</dcterms:created>
  <dcterms:modified xsi:type="dcterms:W3CDTF">2019-08-23T17:29:00Z</dcterms:modified>
</cp:coreProperties>
</file>