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LOnormal"/>
        <w:keepNext/>
        <w:jc w:val="center"/>
        <w:rPr/>
      </w:pPr>
      <w:bookmarkStart w:id="0" w:name="_GoBack"/>
      <w:bookmarkEnd w:id="0"/>
      <w:r>
        <w:rPr>
          <w:b/>
          <w:color w:val="000000"/>
          <w:sz w:val="24"/>
          <w:szCs w:val="24"/>
        </w:rPr>
        <w:t>TERMO DE COMPROMISSO DE GARANTIA DE ACESSO À ASSISTÊNCIA AMBULATORIAL EM SAÚDE AUDITIVA</w:t>
      </w:r>
    </w:p>
    <w:p>
      <w:pPr>
        <w:pStyle w:val="Normal"/>
        <w:jc w:val="center"/>
        <w:rPr/>
      </w:pPr>
      <w:r>
        <w:rPr>
          <w:b/>
          <w:color w:val="000000"/>
          <w:sz w:val="24"/>
          <w:szCs w:val="24"/>
        </w:rPr>
        <w:t xml:space="preserve">PORTARIA GM/MS nº 793 de 24 de abril de 2012 e </w:t>
      </w:r>
      <w:r>
        <w:rPr>
          <w:b/>
          <w:color w:val="000000"/>
          <w:sz w:val="24"/>
          <w:szCs w:val="24"/>
        </w:rPr>
        <w:t>Diretrizes de Atenção à Saúde Auditiva na Rede de Cuidados à Saúde da Pessoa com Deficiência em Santa Catarina</w:t>
      </w:r>
      <w:r>
        <w:rPr>
          <w:b/>
          <w:color w:val="000000"/>
          <w:sz w:val="24"/>
          <w:szCs w:val="24"/>
        </w:rPr>
        <w:t xml:space="preserve"> </w:t>
      </w:r>
      <w:r>
        <w:rPr>
          <w:b/>
          <w:color w:val="000000"/>
          <w:sz w:val="24"/>
          <w:szCs w:val="24"/>
        </w:rPr>
        <w:t xml:space="preserve"> REFERENTE A Portaria 793 de 24 abril de 2012</w:t>
      </w:r>
    </w:p>
    <w:p>
      <w:pPr>
        <w:pStyle w:val="LOnormal"/>
        <w:keepNext/>
        <w:jc w:val="both"/>
        <w:rPr/>
      </w:pPr>
      <w:r>
        <w:rPr/>
      </w:r>
    </w:p>
    <w:p>
      <w:pPr>
        <w:pStyle w:val="LOnormal"/>
        <w:keepNext/>
        <w:jc w:val="both"/>
        <w:rPr/>
      </w:pPr>
      <w:r>
        <w:rPr>
          <w:color w:val="000000"/>
          <w:sz w:val="24"/>
          <w:szCs w:val="24"/>
        </w:rPr>
        <w:t>Unidade: NÚCLEO DE REABILITAÇÃO LABIO PALATAL - CENTRINHO</w:t>
      </w:r>
    </w:p>
    <w:p>
      <w:pPr>
        <w:pStyle w:val="LOnormal"/>
        <w:rPr/>
      </w:pPr>
      <w:r>
        <w:rPr/>
      </w:r>
    </w:p>
    <w:p>
      <w:pPr>
        <w:pStyle w:val="LOnormal"/>
        <w:rPr/>
      </w:pPr>
      <w:r>
        <w:rPr>
          <w:color w:val="000000"/>
          <w:sz w:val="24"/>
          <w:szCs w:val="24"/>
        </w:rPr>
        <w:t>CNPJ: 793610280001-04</w:t>
      </w:r>
    </w:p>
    <w:p>
      <w:pPr>
        <w:pStyle w:val="LOnormal"/>
        <w:rPr/>
      </w:pPr>
      <w:r>
        <w:rPr/>
      </w:r>
    </w:p>
    <w:p>
      <w:pPr>
        <w:pStyle w:val="LOnormal"/>
        <w:jc w:val="both"/>
        <w:rPr/>
      </w:pPr>
      <w:r>
        <w:rPr>
          <w:color w:val="000000"/>
          <w:sz w:val="24"/>
          <w:szCs w:val="24"/>
        </w:rPr>
        <w:t>Município: JOINVILLE</w:t>
      </w:r>
    </w:p>
    <w:p>
      <w:pPr>
        <w:pStyle w:val="LOnormal"/>
        <w:jc w:val="both"/>
        <w:rPr/>
      </w:pPr>
      <w:r>
        <w:rPr/>
      </w:r>
    </w:p>
    <w:p>
      <w:pPr>
        <w:pStyle w:val="LOnormal"/>
        <w:jc w:val="both"/>
        <w:rPr/>
      </w:pPr>
      <w:r>
        <w:rPr>
          <w:color w:val="000000"/>
          <w:sz w:val="24"/>
          <w:szCs w:val="24"/>
        </w:rPr>
        <w:t>Área de abrangência</w:t>
      </w:r>
      <w:r>
        <w:rPr>
          <w:b/>
          <w:color w:val="000000"/>
          <w:sz w:val="24"/>
          <w:szCs w:val="24"/>
        </w:rPr>
        <w:t xml:space="preserve">: Nordeste </w:t>
      </w:r>
      <w:r>
        <w:rPr>
          <w:color w:val="000000"/>
          <w:sz w:val="24"/>
          <w:szCs w:val="24"/>
        </w:rPr>
        <w:t>(23ª SDR).</w:t>
      </w:r>
    </w:p>
    <w:p>
      <w:pPr>
        <w:pStyle w:val="LOnormal"/>
        <w:jc w:val="both"/>
        <w:rPr/>
      </w:pPr>
      <w:r>
        <w:rPr/>
      </w:r>
    </w:p>
    <w:p>
      <w:pPr>
        <w:pStyle w:val="LOnormal"/>
        <w:jc w:val="both"/>
        <w:rPr/>
      </w:pPr>
      <w:r>
        <w:rPr>
          <w:color w:val="000000"/>
          <w:sz w:val="24"/>
          <w:szCs w:val="24"/>
        </w:rPr>
        <w:t>População total/2013: 693.882 hab</w:t>
      </w:r>
    </w:p>
    <w:p>
      <w:pPr>
        <w:pStyle w:val="LOnormal"/>
        <w:jc w:val="both"/>
        <w:rPr/>
      </w:pPr>
      <w:r>
        <w:rPr/>
      </w:r>
    </w:p>
    <w:p>
      <w:pPr>
        <w:pStyle w:val="LOnormal"/>
        <w:jc w:val="both"/>
        <w:rPr/>
      </w:pPr>
      <w:r>
        <w:rPr>
          <w:color w:val="000000"/>
          <w:sz w:val="24"/>
          <w:szCs w:val="24"/>
        </w:rPr>
        <w:t>Recurso: R$ 70.265,53</w:t>
      </w:r>
    </w:p>
    <w:p>
      <w:pPr>
        <w:pStyle w:val="LOnormal"/>
        <w:jc w:val="both"/>
        <w:rPr/>
      </w:pPr>
      <w:r>
        <w:rPr/>
      </w:r>
    </w:p>
    <w:p>
      <w:pPr>
        <w:pStyle w:val="LOnormal"/>
        <w:jc w:val="both"/>
        <w:rPr/>
      </w:pPr>
      <w:r>
        <w:rPr/>
      </w:r>
    </w:p>
    <w:p>
      <w:pPr>
        <w:pStyle w:val="LOnormal"/>
        <w:jc w:val="both"/>
        <w:rPr/>
      </w:pPr>
      <w:r>
        <w:rPr>
          <w:b/>
          <w:color w:val="000000"/>
          <w:sz w:val="24"/>
          <w:szCs w:val="24"/>
        </w:rPr>
        <w:t xml:space="preserve">Serviços a serem oferecidos: </w:t>
      </w:r>
    </w:p>
    <w:p>
      <w:pPr>
        <w:pStyle w:val="LOnormal"/>
        <w:jc w:val="both"/>
        <w:rPr/>
      </w:pPr>
      <w:r>
        <w:rPr/>
      </w:r>
    </w:p>
    <w:tbl>
      <w:tblPr>
        <w:tblStyle w:val="2"/>
        <w:tblW w:w="7590" w:type="dxa"/>
        <w:jc w:val="left"/>
        <w:tblInd w:w="-1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firstRow="0" w:noVBand="0" w:lastRow="0" w:firstColumn="0" w:lastColumn="0" w:noHBand="0" w:val="0000"/>
      </w:tblPr>
      <w:tblGrid>
        <w:gridCol w:w="2831"/>
        <w:gridCol w:w="1471"/>
        <w:gridCol w:w="960"/>
        <w:gridCol w:w="854"/>
        <w:gridCol w:w="1474"/>
      </w:tblGrid>
      <w:tr>
        <w:trPr/>
        <w:tc>
          <w:tcPr>
            <w:tcW w:w="2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LOnormal"/>
              <w:jc w:val="center"/>
              <w:rPr/>
            </w:pPr>
            <w:bookmarkStart w:id="1" w:name="h.gjdgxs"/>
            <w:bookmarkEnd w:id="1"/>
            <w:r>
              <w:rPr>
                <w:rFonts w:eastAsia="Verdana" w:cs="Verdana" w:ascii="Verdana" w:hAnsi="Verdana"/>
                <w:b/>
                <w:color w:val="000000"/>
              </w:rPr>
              <w:t>16 REGIÕES DE SAÚDE</w:t>
            </w:r>
          </w:p>
        </w:tc>
        <w:tc>
          <w:tcPr>
            <w:tcW w:w="14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LOnormal"/>
              <w:jc w:val="center"/>
              <w:rPr/>
            </w:pPr>
            <w:r>
              <w:rPr>
                <w:rFonts w:eastAsia="Verdana" w:cs="Verdana" w:ascii="Verdana" w:hAnsi="Verdana"/>
                <w:b/>
                <w:color w:val="000000"/>
                <w:sz w:val="18"/>
                <w:szCs w:val="18"/>
              </w:rPr>
              <w:t xml:space="preserve"> </w:t>
            </w:r>
            <w:r>
              <w:rPr>
                <w:rFonts w:eastAsia="Verdana" w:cs="Verdana" w:ascii="Verdana" w:hAnsi="Verdana"/>
                <w:b/>
                <w:color w:val="000000"/>
                <w:sz w:val="18"/>
                <w:szCs w:val="18"/>
              </w:rPr>
              <w:t>População</w:t>
              <w:br/>
              <w:t xml:space="preserve">2013 </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LOnormal"/>
              <w:jc w:val="center"/>
              <w:rPr/>
            </w:pPr>
            <w:r>
              <w:rPr>
                <w:color w:val="000000"/>
                <w:sz w:val="24"/>
                <w:szCs w:val="24"/>
              </w:rPr>
              <w:t xml:space="preserve"> </w:t>
            </w:r>
          </w:p>
          <w:p>
            <w:pPr>
              <w:pStyle w:val="LOnormal"/>
              <w:jc w:val="center"/>
              <w:rPr/>
            </w:pPr>
            <w:r>
              <w:rPr>
                <w:b/>
                <w:color w:val="000000"/>
                <w:sz w:val="24"/>
                <w:szCs w:val="24"/>
              </w:rPr>
              <w:t xml:space="preserve"> </w:t>
            </w:r>
            <w:r>
              <w:rPr>
                <w:b/>
                <w:color w:val="000000"/>
                <w:sz w:val="24"/>
                <w:szCs w:val="24"/>
              </w:rPr>
              <w:t>Total</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LOnormal"/>
              <w:jc w:val="center"/>
              <w:rPr/>
            </w:pPr>
            <w:r>
              <w:rPr>
                <w:b/>
                <w:color w:val="000000"/>
                <w:sz w:val="24"/>
                <w:szCs w:val="24"/>
              </w:rPr>
              <w:t>Av. inicial</w:t>
            </w:r>
          </w:p>
          <w:p>
            <w:pPr>
              <w:pStyle w:val="LOnormal"/>
              <w:jc w:val="center"/>
              <w:rPr/>
            </w:pPr>
            <w:r>
              <w:rPr/>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LOnormal"/>
              <w:jc w:val="center"/>
              <w:rPr/>
            </w:pPr>
            <w:r>
              <w:rPr>
                <w:b/>
                <w:color w:val="000000"/>
                <w:sz w:val="24"/>
                <w:szCs w:val="24"/>
              </w:rPr>
              <w:t>B.O. e Orçamento</w:t>
            </w:r>
          </w:p>
        </w:tc>
      </w:tr>
      <w:tr>
        <w:trPr/>
        <w:tc>
          <w:tcPr>
            <w:tcW w:w="2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LOnormal"/>
              <w:rPr/>
            </w:pPr>
            <w:r>
              <w:rPr>
                <w:rFonts w:eastAsia="Verdana" w:cs="Verdana" w:ascii="Verdana" w:hAnsi="Verdana"/>
                <w:color w:val="000000"/>
              </w:rPr>
              <w:t>NORDESTE</w:t>
            </w:r>
          </w:p>
        </w:tc>
        <w:tc>
          <w:tcPr>
            <w:tcW w:w="14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bottom"/>
          </w:tcPr>
          <w:p>
            <w:pPr>
              <w:pStyle w:val="LOnormal"/>
              <w:jc w:val="right"/>
              <w:rPr>
                <w:rFonts w:ascii="Calibri" w:hAnsi="Calibri" w:cs="Calibri" w:asciiTheme="minorHAnsi" w:cstheme="minorHAnsi" w:hAnsiTheme="minorHAnsi"/>
                <w:sz w:val="22"/>
                <w:szCs w:val="22"/>
              </w:rPr>
            </w:pPr>
            <w:r>
              <w:rPr>
                <w:rFonts w:eastAsia="Verdana" w:cs="Calibri" w:ascii="Calibri" w:hAnsi="Calibri" w:asciiTheme="minorHAnsi" w:cstheme="minorHAnsi" w:hAnsiTheme="minorHAnsi"/>
                <w:color w:val="000000"/>
                <w:sz w:val="22"/>
                <w:szCs w:val="22"/>
              </w:rPr>
              <w:t>693.882</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bottom"/>
          </w:tcPr>
          <w:p>
            <w:pPr>
              <w:pStyle w:val="LOnormal"/>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color w:val="000000"/>
                <w:sz w:val="22"/>
                <w:szCs w:val="22"/>
              </w:rPr>
              <w:t>44</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bottom"/>
          </w:tcPr>
          <w:p>
            <w:pPr>
              <w:pStyle w:val="LOnormal"/>
              <w:jc w:val="center"/>
              <w:rPr>
                <w:rFonts w:ascii="Calibri" w:hAnsi="Calibri" w:cs="Calibri" w:asciiTheme="minorHAnsi" w:cstheme="minorHAnsi" w:hAnsiTheme="minorHAnsi"/>
                <w:sz w:val="22"/>
                <w:szCs w:val="22"/>
              </w:rPr>
            </w:pPr>
            <w:r>
              <w:rPr>
                <w:rFonts w:eastAsia="Calibri" w:cs="Calibri" w:ascii="Calibri" w:hAnsi="Calibri" w:asciiTheme="minorHAnsi" w:cstheme="minorHAnsi" w:hAnsiTheme="minorHAnsi"/>
                <w:color w:val="000000"/>
                <w:sz w:val="22"/>
                <w:szCs w:val="22"/>
              </w:rPr>
              <w:t>35</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LOnormal"/>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9</w:t>
            </w:r>
          </w:p>
        </w:tc>
      </w:tr>
      <w:tr>
        <w:trPr/>
        <w:tc>
          <w:tcPr>
            <w:tcW w:w="2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LOnormal"/>
              <w:jc w:val="both"/>
              <w:rPr/>
            </w:pPr>
            <w:r>
              <w:rPr>
                <w:rFonts w:eastAsia="Arial" w:cs="Arial" w:ascii="Arial" w:hAnsi="Arial"/>
                <w:b/>
                <w:color w:val="000000"/>
              </w:rPr>
              <w:t>TOTAL</w:t>
            </w:r>
          </w:p>
        </w:tc>
        <w:tc>
          <w:tcPr>
            <w:tcW w:w="14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bottom"/>
          </w:tcPr>
          <w:p>
            <w:pPr>
              <w:pStyle w:val="LOnormal"/>
              <w:jc w:val="right"/>
              <w:rPr>
                <w:rFonts w:ascii="Calibri" w:hAnsi="Calibri" w:cs="Calibri" w:asciiTheme="minorHAnsi" w:cstheme="minorHAnsi" w:hAnsiTheme="minorHAnsi"/>
                <w:sz w:val="22"/>
                <w:szCs w:val="22"/>
              </w:rPr>
            </w:pPr>
            <w:r>
              <w:rPr>
                <w:rFonts w:eastAsia="Verdana" w:cs="Calibri" w:ascii="Calibri" w:hAnsi="Calibri" w:asciiTheme="minorHAnsi" w:cstheme="minorHAnsi" w:hAnsiTheme="minorHAnsi"/>
                <w:color w:val="000000"/>
                <w:sz w:val="22"/>
                <w:szCs w:val="22"/>
              </w:rPr>
              <w:t>693.882</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bottom"/>
          </w:tcPr>
          <w:p>
            <w:pPr>
              <w:pStyle w:val="LOnormal"/>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color w:val="000000"/>
                <w:sz w:val="22"/>
                <w:szCs w:val="22"/>
              </w:rPr>
              <w:t>44</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bottom"/>
          </w:tcPr>
          <w:p>
            <w:pPr>
              <w:pStyle w:val="LOnormal"/>
              <w:jc w:val="center"/>
              <w:rPr>
                <w:rFonts w:ascii="Calibri" w:hAnsi="Calibri" w:cs="Calibri" w:asciiTheme="minorHAnsi" w:cstheme="minorHAnsi" w:hAnsiTheme="minorHAnsi"/>
                <w:sz w:val="22"/>
                <w:szCs w:val="22"/>
              </w:rPr>
            </w:pPr>
            <w:r>
              <w:rPr>
                <w:rFonts w:eastAsia="Calibri" w:cs="Calibri" w:ascii="Calibri" w:hAnsi="Calibri" w:asciiTheme="minorHAnsi" w:cstheme="minorHAnsi" w:hAnsiTheme="minorHAnsi"/>
                <w:color w:val="000000"/>
                <w:sz w:val="22"/>
                <w:szCs w:val="22"/>
              </w:rPr>
              <w:t>35</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LOnormal"/>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9</w:t>
            </w:r>
          </w:p>
        </w:tc>
      </w:tr>
    </w:tbl>
    <w:p>
      <w:pPr>
        <w:pStyle w:val="LOnormal"/>
        <w:jc w:val="both"/>
        <w:rPr/>
      </w:pPr>
      <w:bookmarkStart w:id="2" w:name="h.30j0zll"/>
      <w:bookmarkStart w:id="3" w:name="h.30j0zll"/>
      <w:bookmarkEnd w:id="3"/>
      <w:r>
        <w:rPr/>
      </w:r>
    </w:p>
    <w:p>
      <w:pPr>
        <w:pStyle w:val="LOnormal"/>
        <w:jc w:val="both"/>
        <w:rPr/>
      </w:pPr>
      <w:r>
        <w:rPr/>
      </w:r>
    </w:p>
    <w:p>
      <w:pPr>
        <w:pStyle w:val="LOnormal"/>
        <w:jc w:val="both"/>
        <w:rPr/>
      </w:pPr>
      <w:r>
        <w:rPr>
          <w:color w:val="000000"/>
          <w:sz w:val="24"/>
          <w:szCs w:val="24"/>
        </w:rPr>
        <w:t>Atendimento</w:t>
      </w:r>
    </w:p>
    <w:p>
      <w:pPr>
        <w:pStyle w:val="LOnormal"/>
        <w:numPr>
          <w:ilvl w:val="0"/>
          <w:numId w:val="1"/>
        </w:numPr>
        <w:ind w:left="720" w:hanging="360"/>
        <w:jc w:val="both"/>
        <w:rPr>
          <w:color w:val="000000"/>
        </w:rPr>
      </w:pPr>
      <w:r>
        <w:rPr>
          <w:color w:val="000000"/>
          <w:sz w:val="24"/>
          <w:szCs w:val="24"/>
        </w:rPr>
        <w:t>Ofertar no máximo 44 Avaliações e Seleções</w:t>
      </w:r>
    </w:p>
    <w:p>
      <w:pPr>
        <w:pStyle w:val="LOnormal"/>
        <w:numPr>
          <w:ilvl w:val="0"/>
          <w:numId w:val="1"/>
        </w:numPr>
        <w:ind w:left="720" w:hanging="360"/>
        <w:jc w:val="both"/>
        <w:rPr>
          <w:color w:val="000000"/>
        </w:rPr>
      </w:pPr>
      <w:r>
        <w:rPr>
          <w:color w:val="000000"/>
          <w:sz w:val="24"/>
          <w:szCs w:val="24"/>
        </w:rPr>
        <w:t>Ofertar no máximo 44 Adaptação (Bilateral ou Unilateral)</w:t>
      </w:r>
    </w:p>
    <w:p>
      <w:pPr>
        <w:pStyle w:val="LOnormal"/>
        <w:numPr>
          <w:ilvl w:val="0"/>
          <w:numId w:val="1"/>
        </w:numPr>
        <w:ind w:left="720" w:hanging="360"/>
        <w:jc w:val="both"/>
        <w:rPr>
          <w:color w:val="000000"/>
        </w:rPr>
      </w:pPr>
      <w:r>
        <w:rPr>
          <w:color w:val="000000"/>
          <w:sz w:val="24"/>
          <w:szCs w:val="24"/>
        </w:rPr>
        <w:t>Ofertar no máximo 44 retorno de adaptação</w:t>
      </w:r>
    </w:p>
    <w:p>
      <w:pPr>
        <w:pStyle w:val="LOnormal"/>
        <w:ind w:left="720" w:hanging="0"/>
        <w:jc w:val="both"/>
        <w:rPr/>
      </w:pPr>
      <w:r>
        <w:rPr/>
      </w:r>
    </w:p>
    <w:p>
      <w:pPr>
        <w:pStyle w:val="LOnormal"/>
        <w:ind w:left="720" w:hanging="0"/>
        <w:jc w:val="both"/>
        <w:rPr/>
      </w:pPr>
      <w:r>
        <w:rPr/>
      </w:r>
    </w:p>
    <w:p>
      <w:pPr>
        <w:pStyle w:val="LOnormal"/>
        <w:ind w:firstLine="567"/>
        <w:jc w:val="both"/>
        <w:rPr/>
      </w:pPr>
      <w:r>
        <w:rPr>
          <w:color w:val="000000"/>
          <w:sz w:val="24"/>
          <w:szCs w:val="24"/>
        </w:rPr>
        <w:t xml:space="preserve">O paciente que não se enquadrar nos critérios da portaria para protetização, mas tenha perda auditiva, tem o direito ao acompanhamento no serviço de Saúde Auditiva, conforme prevê o Instrutivo da Portaria 793 de 2012. Caso não tenha perda auditiva, será contra referenciado para a Atenção Básica do seu município de origem, conforme o fluxo do Serviço. </w:t>
      </w:r>
    </w:p>
    <w:p>
      <w:pPr>
        <w:pStyle w:val="LOnormal"/>
        <w:ind w:left="720" w:hanging="0"/>
        <w:jc w:val="both"/>
        <w:rPr/>
      </w:pPr>
      <w:r>
        <w:rPr/>
      </w:r>
    </w:p>
    <w:p>
      <w:pPr>
        <w:pStyle w:val="LOnormal"/>
        <w:ind w:firstLine="567"/>
        <w:jc w:val="both"/>
        <w:rPr/>
      </w:pPr>
      <w:r>
        <w:rPr>
          <w:color w:val="000000"/>
          <w:sz w:val="24"/>
          <w:szCs w:val="24"/>
        </w:rPr>
        <w:t xml:space="preserve">O número de AASIs que não foram preenchidos por paciente fora dos critérios das Diretrizes do Serviço (ou seja que só passaram por avaliação), deverão ser preenchidos por pacientes que estão aguardando a troca de AASIs por Perda Progressiva. </w:t>
      </w:r>
    </w:p>
    <w:p>
      <w:pPr>
        <w:pStyle w:val="LOnormal"/>
        <w:jc w:val="both"/>
        <w:rPr/>
      </w:pPr>
      <w:r>
        <w:rPr/>
      </w:r>
    </w:p>
    <w:p>
      <w:pPr>
        <w:pStyle w:val="LOnormal"/>
        <w:spacing w:lineRule="auto" w:line="288" w:before="0" w:after="140"/>
        <w:ind w:firstLine="567"/>
        <w:jc w:val="both"/>
        <w:rPr/>
      </w:pPr>
      <w:r>
        <w:rPr>
          <w:color w:val="000000"/>
          <w:sz w:val="24"/>
          <w:szCs w:val="24"/>
        </w:rPr>
        <w:t>Atendimento integral aos usuários com deficiência auditiva. (consultas, diagnóstico, tratamento, reabilitação e acompanhamento) pelo SUS, sem qualquer ônus ao paciente.</w:t>
      </w:r>
    </w:p>
    <w:p>
      <w:pPr>
        <w:pStyle w:val="LOnormal"/>
        <w:ind w:firstLine="420"/>
        <w:jc w:val="both"/>
        <w:rPr/>
      </w:pPr>
      <w:r>
        <w:rPr>
          <w:color w:val="000000"/>
          <w:sz w:val="24"/>
          <w:szCs w:val="24"/>
        </w:rPr>
        <w:t>A terapia fonoaudióloga segue os critérios e fluxos estabelecidos nas Diretrizes Estaduais.</w:t>
      </w:r>
    </w:p>
    <w:p>
      <w:pPr>
        <w:pStyle w:val="LOnormal"/>
        <w:ind w:firstLine="420"/>
        <w:jc w:val="both"/>
        <w:rPr/>
      </w:pPr>
      <w:r>
        <w:rPr/>
      </w:r>
    </w:p>
    <w:p>
      <w:pPr>
        <w:pStyle w:val="LOnormal"/>
        <w:ind w:firstLine="567"/>
        <w:jc w:val="both"/>
        <w:rPr/>
      </w:pPr>
      <w:r>
        <w:rPr>
          <w:color w:val="000000"/>
          <w:sz w:val="24"/>
          <w:szCs w:val="24"/>
        </w:rPr>
        <w:t>As execuções dos agendamentos deverão ser realizadas conforme fluxo do Serviço de Saúde Auditiva e os atendimentos e procedimentos estarão sob controle do Gestor do Serviço de Saúde, bem como a Regulação.</w:t>
      </w:r>
    </w:p>
    <w:p>
      <w:pPr>
        <w:pStyle w:val="LOnormal"/>
        <w:spacing w:lineRule="auto" w:line="288" w:before="0" w:after="140"/>
        <w:ind w:firstLine="567"/>
        <w:jc w:val="both"/>
        <w:rPr/>
      </w:pPr>
      <w:r>
        <w:rPr>
          <w:color w:val="000000"/>
          <w:sz w:val="24"/>
          <w:szCs w:val="24"/>
        </w:rPr>
        <w:t>A Regulação deverá obedecer aos critérios estabelecidos na legislação vigente.</w:t>
      </w:r>
    </w:p>
    <w:p>
      <w:pPr>
        <w:pStyle w:val="LOnormal"/>
        <w:ind w:firstLine="567"/>
        <w:jc w:val="both"/>
        <w:rPr/>
      </w:pPr>
      <w:r>
        <w:rPr>
          <w:color w:val="000000"/>
          <w:sz w:val="24"/>
          <w:szCs w:val="24"/>
        </w:rPr>
        <w:t>Os usuários atendidos fora da Regional sede deverão respeitar o fluxo do Serviço de Saúde Auditiva através do TFD, enfatizando que a porta de entrada será sempre o Município de origem do usuário.</w:t>
      </w:r>
    </w:p>
    <w:p>
      <w:pPr>
        <w:pStyle w:val="LOnormal"/>
        <w:jc w:val="both"/>
        <w:rPr/>
      </w:pPr>
      <w:r>
        <w:rPr/>
      </w:r>
    </w:p>
    <w:p>
      <w:pPr>
        <w:pStyle w:val="LOnormal"/>
        <w:ind w:firstLine="567"/>
        <w:jc w:val="both"/>
        <w:rPr/>
      </w:pPr>
      <w:r>
        <w:rPr>
          <w:color w:val="000000"/>
          <w:sz w:val="24"/>
          <w:szCs w:val="24"/>
        </w:rPr>
        <w:t>A lista de espera para entrada no Serviço deverá ser de conhecimento e gerenciamento do Gestor e quanto a espera do usuário, quando já está no Serviço Prestador, não deverá ultrapassar 60 dias para a conclusão do seu tratamento.</w:t>
      </w:r>
    </w:p>
    <w:p>
      <w:pPr>
        <w:pStyle w:val="LOnormal"/>
        <w:jc w:val="both"/>
        <w:rPr/>
      </w:pPr>
      <w:r>
        <w:rPr/>
      </w:r>
    </w:p>
    <w:p>
      <w:pPr>
        <w:pStyle w:val="LOnormal"/>
        <w:ind w:firstLine="567"/>
        <w:jc w:val="both"/>
        <w:rPr/>
      </w:pPr>
      <w:r>
        <w:rPr>
          <w:color w:val="000000"/>
          <w:sz w:val="24"/>
          <w:szCs w:val="24"/>
        </w:rPr>
        <w:t>O Serviço deve informar o gestor municipal sobre os usuários faltantes, para tomar as providências cabíveis.</w:t>
      </w:r>
    </w:p>
    <w:p>
      <w:pPr>
        <w:pStyle w:val="LOnormal"/>
        <w:jc w:val="both"/>
        <w:rPr/>
      </w:pPr>
      <w:r>
        <w:rPr/>
      </w:r>
    </w:p>
    <w:p>
      <w:pPr>
        <w:pStyle w:val="LOnormal"/>
        <w:ind w:firstLine="567"/>
        <w:jc w:val="both"/>
        <w:rPr/>
      </w:pPr>
      <w:r>
        <w:rPr>
          <w:color w:val="000000"/>
          <w:sz w:val="24"/>
          <w:szCs w:val="24"/>
        </w:rPr>
        <w:t>O gestor deve acompanhar mensalmente o cumprimento deste Termo, quanto à produção bem como a qualidade dos serviços prestados.</w:t>
      </w:r>
    </w:p>
    <w:p>
      <w:pPr>
        <w:pStyle w:val="LOnormal"/>
        <w:jc w:val="both"/>
        <w:rPr/>
      </w:pPr>
      <w:r>
        <w:rPr/>
      </w:r>
    </w:p>
    <w:p>
      <w:pPr>
        <w:pStyle w:val="LOnormal"/>
        <w:ind w:firstLine="567"/>
        <w:jc w:val="both"/>
        <w:rPr/>
      </w:pPr>
      <w:r>
        <w:rPr>
          <w:color w:val="000000"/>
          <w:sz w:val="24"/>
          <w:szCs w:val="24"/>
        </w:rPr>
        <w:t>Este serviço é custeado pelo MAC – sendo o pagamento mediante produção dentro do teto mensal estabelecido para cada prestador.</w:t>
      </w:r>
    </w:p>
    <w:p>
      <w:pPr>
        <w:pStyle w:val="LOnormal"/>
        <w:jc w:val="both"/>
        <w:rPr/>
      </w:pPr>
      <w:r>
        <w:rPr/>
      </w:r>
    </w:p>
    <w:p>
      <w:pPr>
        <w:pStyle w:val="LOnormal"/>
        <w:ind w:firstLine="567"/>
        <w:jc w:val="both"/>
        <w:rPr/>
      </w:pPr>
      <w:r>
        <w:rPr>
          <w:color w:val="000000"/>
          <w:sz w:val="24"/>
          <w:szCs w:val="24"/>
        </w:rPr>
        <w:t>O serviço deve manter as condições técnicas estabelecidas na Portaria Ministerial e nas Diretrizes Estaduais de forma contínua, sendo que a qualquer momento poderá passar por vistoria dos Gestores Estadual e/ou Municipal.</w:t>
      </w:r>
    </w:p>
    <w:p>
      <w:pPr>
        <w:pStyle w:val="LOnormal"/>
        <w:jc w:val="both"/>
        <w:rPr/>
      </w:pPr>
      <w:r>
        <w:rPr/>
      </w:r>
    </w:p>
    <w:p>
      <w:pPr>
        <w:pStyle w:val="LOnormal"/>
        <w:spacing w:lineRule="auto" w:line="288" w:before="0" w:after="140"/>
        <w:ind w:firstLine="567"/>
        <w:jc w:val="both"/>
        <w:rPr/>
      </w:pPr>
      <w:r>
        <w:rPr>
          <w:color w:val="000000"/>
          <w:sz w:val="24"/>
          <w:szCs w:val="24"/>
        </w:rPr>
        <w:t>Denúncias relacionadas ao atendimento e cobranças indevidas, bem como o não cumprimento deste Termo, estarão sujeitas às penalidades previstas na legislação: advertência escrita, penalidade pecuniária, ordem de recolhimento, boletim de diferença de pagamento, suspensão temporária da prestação de serviço e rescisão deste Termo.</w:t>
      </w:r>
    </w:p>
    <w:p>
      <w:pPr>
        <w:pStyle w:val="LOnormal"/>
        <w:jc w:val="both"/>
        <w:rPr/>
      </w:pPr>
      <w:r>
        <w:rPr/>
      </w:r>
    </w:p>
    <w:p>
      <w:pPr>
        <w:pStyle w:val="LOnormal"/>
        <w:rPr/>
      </w:pPr>
      <w:r>
        <w:rPr>
          <w:color w:val="000000"/>
          <w:sz w:val="24"/>
          <w:szCs w:val="24"/>
        </w:rPr>
        <w:t>DATA:  Julho/2015.</w:t>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ind w:left="-540" w:right="-1036" w:hanging="180"/>
        <w:jc w:val="center"/>
        <w:rPr/>
      </w:pPr>
      <w:bookmarkStart w:id="4" w:name="h.1fob9te"/>
      <w:bookmarkEnd w:id="4"/>
      <w:r>
        <w:rPr>
          <w:color w:val="000000"/>
          <w:sz w:val="24"/>
          <w:szCs w:val="24"/>
        </w:rPr>
        <w:t xml:space="preserve">Classificada como </w:t>
      </w:r>
      <w:r>
        <w:rPr>
          <w:color w:val="000000"/>
          <w:sz w:val="24"/>
          <w:szCs w:val="24"/>
          <w:u w:val="single"/>
        </w:rPr>
        <w:t xml:space="preserve">SERVIÇO DE ATENÇÃO ESPECIALIZADA AMBULATORIAL EM SAÚDE AUDITIVA </w:t>
      </w:r>
    </w:p>
    <w:p>
      <w:pPr>
        <w:pStyle w:val="LOnormal"/>
        <w:ind w:left="-540" w:right="-1036" w:hanging="180"/>
        <w:jc w:val="center"/>
        <w:rPr/>
      </w:pPr>
      <w:r>
        <w:rPr/>
      </w:r>
    </w:p>
    <w:p>
      <w:pPr>
        <w:pStyle w:val="LOnormal"/>
        <w:jc w:val="both"/>
        <w:rPr/>
      </w:pPr>
      <w:r>
        <w:rPr/>
      </w:r>
    </w:p>
    <w:p>
      <w:pPr>
        <w:pStyle w:val="LOnormal"/>
        <w:jc w:val="both"/>
        <w:rPr/>
      </w:pPr>
      <w:r>
        <w:rPr/>
      </w:r>
    </w:p>
    <w:p>
      <w:pPr>
        <w:pStyle w:val="LOnormal"/>
        <w:jc w:val="center"/>
        <w:rPr/>
      </w:pPr>
      <w:r>
        <w:rPr/>
      </w:r>
    </w:p>
    <w:p>
      <w:pPr>
        <w:pStyle w:val="LOnormal"/>
        <w:jc w:val="center"/>
        <w:rPr/>
      </w:pPr>
      <w:r>
        <w:rPr>
          <w:color w:val="000000"/>
          <w:sz w:val="24"/>
          <w:szCs w:val="24"/>
        </w:rPr>
        <w:t xml:space="preserve">RESPONSÁVEL PELO SERVIÇO </w:t>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color w:val="000000"/>
          <w:sz w:val="24"/>
          <w:szCs w:val="24"/>
        </w:rPr>
        <w:t>GESTOR MUNICIPAL DE SAÚDE</w:t>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color w:val="000000"/>
          <w:sz w:val="24"/>
          <w:szCs w:val="24"/>
        </w:rPr>
        <w:t>GESTOR ESTADUAL DE SAÚDE</w:t>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color w:val="000000"/>
          <w:sz w:val="36"/>
          <w:szCs w:val="36"/>
        </w:rPr>
        <w:t>ANEXOS</w:t>
      </w:r>
    </w:p>
    <w:p>
      <w:pPr>
        <w:pStyle w:val="LOnormal"/>
        <w:jc w:val="center"/>
        <w:rPr/>
      </w:pPr>
      <w:r>
        <w:rPr/>
      </w:r>
    </w:p>
    <w:p>
      <w:pPr>
        <w:pStyle w:val="LOnormal"/>
        <w:jc w:val="center"/>
        <w:rPr/>
      </w:pPr>
      <w:r>
        <w:rPr>
          <w:color w:val="000000"/>
          <w:sz w:val="36"/>
          <w:szCs w:val="36"/>
        </w:rPr>
        <w:t>Fluxo de atendimento</w:t>
      </w:r>
    </w:p>
    <w:p>
      <w:pPr>
        <w:pStyle w:val="LOnormal"/>
        <w:jc w:val="center"/>
        <w:rPr/>
      </w:pPr>
      <w:r>
        <w:rPr>
          <w:color w:val="000000"/>
          <w:sz w:val="36"/>
          <w:szCs w:val="36"/>
        </w:rPr>
        <w:t>Normativa</w:t>
      </w:r>
    </w:p>
    <w:p>
      <w:pPr>
        <w:pStyle w:val="LOnormal"/>
        <w:jc w:val="center"/>
        <w:rPr/>
      </w:pPr>
      <w:r>
        <w:rPr/>
      </w:r>
    </w:p>
    <w:p>
      <w:pPr>
        <w:pStyle w:val="LOnormal"/>
        <w:jc w:val="both"/>
        <w:rPr/>
      </w:pPr>
      <w:r>
        <w:rPr/>
      </w:r>
    </w:p>
    <w:p>
      <w:pPr>
        <w:pStyle w:val="LOnormal"/>
        <w:rPr/>
      </w:pPr>
      <w:r>
        <w:rPr/>
      </w:r>
    </w:p>
    <w:p>
      <w:pPr>
        <w:pStyle w:val="LOnormal"/>
        <w:rPr/>
      </w:pPr>
      <w:r>
        <w:rPr/>
      </w:r>
    </w:p>
    <w:p>
      <w:pPr>
        <w:pStyle w:val="LOnormal"/>
        <w:rPr/>
      </w:pPr>
      <w:r>
        <w:rPr/>
      </w:r>
    </w:p>
    <w:p>
      <w:pPr>
        <w:pStyle w:val="LOnormal"/>
        <w:rPr/>
      </w:pPr>
      <w:r>
        <w:rPr/>
      </w:r>
    </w:p>
    <w:sectPr>
      <w:headerReference w:type="default" r:id="rId2"/>
      <w:type w:val="nextPage"/>
      <w:pgSz w:w="11906" w:h="16838"/>
      <w:pgMar w:left="1701" w:right="1701" w:header="720" w:top="1417" w:footer="0" w:bottom="1417" w:gutter="0"/>
      <w:pgNumType w:start="1"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Verdana">
    <w:charset w:val="00"/>
    <w:family w:val="roman"/>
    <w:pitch w:val="variable"/>
  </w:font>
  <w:font w:name="Calibri">
    <w:charset w:val="00"/>
    <w:family w:val="roman"/>
    <w:pitch w:val="variable"/>
  </w:font>
  <w:font w:name="Arial">
    <w:charset w:val="00"/>
    <w:family w:val="roman"/>
    <w:pitch w:val="variable"/>
  </w:font>
  <w:font w:name="Impact">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widowControl w:val="false"/>
      <w:spacing w:lineRule="auto" w:line="276"/>
      <w:rPr/>
    </w:pPr>
    <w:r>
      <w:rPr/>
    </w:r>
  </w:p>
  <w:tbl>
    <w:tblPr>
      <w:tblStyle w:val="1"/>
      <w:tblW w:w="10348" w:type="dxa"/>
      <w:jc w:val="left"/>
      <w:tblInd w:w="-851" w:type="dxa"/>
      <w:tblBorders/>
      <w:tblCellMar>
        <w:top w:w="0" w:type="dxa"/>
        <w:left w:w="108" w:type="dxa"/>
        <w:bottom w:w="0" w:type="dxa"/>
        <w:right w:w="108" w:type="dxa"/>
      </w:tblCellMar>
      <w:tblLook w:firstRow="0" w:noVBand="0" w:lastRow="0" w:firstColumn="0" w:lastColumn="0" w:noHBand="0" w:val="0000"/>
    </w:tblPr>
    <w:tblGrid>
      <w:gridCol w:w="1412"/>
      <w:gridCol w:w="8935"/>
    </w:tblGrid>
    <w:tr>
      <w:trPr>
        <w:trHeight w:val="1680" w:hRule="atLeast"/>
      </w:trPr>
      <w:tc>
        <w:tcPr>
          <w:tcW w:w="1412" w:type="dxa"/>
          <w:tcBorders/>
          <w:shd w:fill="auto" w:val="clear"/>
          <w:vAlign w:val="center"/>
        </w:tcPr>
        <w:p>
          <w:pPr>
            <w:pStyle w:val="LOnormal"/>
            <w:tabs>
              <w:tab w:val="center" w:pos="4252" w:leader="none"/>
              <w:tab w:val="right" w:pos="8504" w:leader="none"/>
            </w:tabs>
            <w:spacing w:before="708" w:after="0"/>
            <w:rPr/>
          </w:pPr>
          <w:r>
            <w:rPr/>
            <w:drawing>
              <wp:inline distT="0" distB="0" distL="0" distR="0">
                <wp:extent cx="781685" cy="791210"/>
                <wp:effectExtent l="0" t="0" r="0" b="0"/>
                <wp:docPr id="1" name="image0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png" descr=""/>
                        <pic:cNvPicPr>
                          <a:picLocks noChangeAspect="1" noChangeArrowheads="1"/>
                        </pic:cNvPicPr>
                      </pic:nvPicPr>
                      <pic:blipFill>
                        <a:blip r:embed="rId1"/>
                        <a:stretch>
                          <a:fillRect/>
                        </a:stretch>
                      </pic:blipFill>
                      <pic:spPr bwMode="auto">
                        <a:xfrm>
                          <a:off x="0" y="0"/>
                          <a:ext cx="781685" cy="791210"/>
                        </a:xfrm>
                        <a:prstGeom prst="rect">
                          <a:avLst/>
                        </a:prstGeom>
                      </pic:spPr>
                    </pic:pic>
                  </a:graphicData>
                </a:graphic>
              </wp:inline>
            </w:drawing>
          </w:r>
        </w:p>
      </w:tc>
      <w:tc>
        <w:tcPr>
          <w:tcW w:w="8935" w:type="dxa"/>
          <w:tcBorders/>
          <w:shd w:fill="auto" w:val="clear"/>
          <w:vAlign w:val="center"/>
        </w:tcPr>
        <w:p>
          <w:pPr>
            <w:pStyle w:val="LOnormal"/>
            <w:tabs>
              <w:tab w:val="center" w:pos="4252" w:leader="none"/>
              <w:tab w:val="right" w:pos="8504" w:leader="none"/>
            </w:tabs>
            <w:spacing w:before="708" w:after="0"/>
            <w:rPr/>
          </w:pPr>
          <w:r>
            <w:rPr>
              <w:rFonts w:eastAsia="Impact" w:cs="Impact" w:ascii="Impact" w:hAnsi="Impact"/>
            </w:rPr>
            <w:t>ESTADO DE SANTA CATARINA</w:t>
          </w:r>
        </w:p>
        <w:p>
          <w:pPr>
            <w:pStyle w:val="LOnormal"/>
            <w:tabs>
              <w:tab w:val="center" w:pos="4252" w:leader="none"/>
              <w:tab w:val="right" w:pos="8504" w:leader="none"/>
            </w:tabs>
            <w:rPr/>
          </w:pPr>
          <w:r>
            <w:rPr>
              <w:rFonts w:eastAsia="Impact" w:cs="Impact" w:ascii="Impact" w:hAnsi="Impact"/>
            </w:rPr>
            <w:t>SECRETARIA DE ESTADO DA SAÚDE</w:t>
          </w:r>
        </w:p>
        <w:p>
          <w:pPr>
            <w:pStyle w:val="LOnormal"/>
            <w:tabs>
              <w:tab w:val="center" w:pos="4252" w:leader="none"/>
              <w:tab w:val="right" w:pos="8504" w:leader="none"/>
            </w:tabs>
            <w:rPr/>
          </w:pPr>
          <w:r>
            <w:rPr>
              <w:rFonts w:eastAsia="Impact" w:cs="Impact" w:ascii="Impact" w:hAnsi="Impact"/>
            </w:rPr>
            <w:t>DIRETORIA DE PLANEJAMENTO, CONTROLE E AVALIAÇÃO</w:t>
          </w:r>
        </w:p>
        <w:p>
          <w:pPr>
            <w:pStyle w:val="LOnormal"/>
            <w:tabs>
              <w:tab w:val="center" w:pos="4252" w:leader="none"/>
              <w:tab w:val="right" w:pos="8504" w:leader="none"/>
            </w:tabs>
            <w:rPr/>
          </w:pPr>
          <w:r>
            <w:rPr/>
          </w:r>
        </w:p>
      </w:tc>
    </w:tr>
  </w:tbl>
  <w:p>
    <w:pPr>
      <w:pStyle w:val="LOnormal"/>
      <w:tabs>
        <w:tab w:val="center" w:pos="4252" w:leader="none"/>
        <w:tab w:val="right" w:pos="8504"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1080"/>
      </w:pPr>
    </w:lvl>
    <w:lvl w:ilvl="2">
      <w:start w:val="1"/>
      <w:numFmt w:val="lowerRoman"/>
      <w:lvlText w:val="%3."/>
      <w:lvlJc w:val="right"/>
      <w:pPr>
        <w:ind w:left="2160" w:hanging="-1980"/>
      </w:pPr>
    </w:lvl>
    <w:lvl w:ilvl="3">
      <w:start w:val="1"/>
      <w:numFmt w:val="decimal"/>
      <w:lvlText w:val="%4."/>
      <w:lvlJc w:val="left"/>
      <w:pPr>
        <w:ind w:left="2880" w:hanging="-2520"/>
      </w:pPr>
    </w:lvl>
    <w:lvl w:ilvl="4">
      <w:start w:val="1"/>
      <w:numFmt w:val="lowerLetter"/>
      <w:lvlText w:val="%5."/>
      <w:lvlJc w:val="left"/>
      <w:pPr>
        <w:ind w:left="3600" w:hanging="-3240"/>
      </w:pPr>
    </w:lvl>
    <w:lvl w:ilvl="5">
      <w:start w:val="1"/>
      <w:numFmt w:val="lowerRoman"/>
      <w:lvlText w:val="%6."/>
      <w:lvlJc w:val="right"/>
      <w:pPr>
        <w:ind w:left="4320" w:hanging="-4140"/>
      </w:pPr>
    </w:lvl>
    <w:lvl w:ilvl="6">
      <w:start w:val="1"/>
      <w:numFmt w:val="decimal"/>
      <w:lvlText w:val="%7."/>
      <w:lvlJc w:val="left"/>
      <w:pPr>
        <w:ind w:left="5040" w:hanging="-4680"/>
      </w:pPr>
    </w:lvl>
    <w:lvl w:ilvl="7">
      <w:start w:val="1"/>
      <w:numFmt w:val="lowerLetter"/>
      <w:lvlText w:val="%8."/>
      <w:lvlJc w:val="left"/>
      <w:pPr>
        <w:ind w:left="5760" w:hanging="-5400"/>
      </w:pPr>
    </w:lvl>
    <w:lvl w:ilvl="8">
      <w:start w:val="1"/>
      <w:numFmt w:val="lowerRoman"/>
      <w:lvlText w:val="%9."/>
      <w:lvlJc w:val="right"/>
      <w:pPr>
        <w:ind w:left="6480" w:hanging="-63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5"/>
  <w:displayBackgroundShape/>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t-BR" w:eastAsia="zh-CN" w:bidi="hi-IN"/>
      </w:rPr>
    </w:rPrDefault>
    <w:pPrDefault>
      <w:pPr>
        <w:widowControl/>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kinsoku w:val="true"/>
      <w:overflowPunct w:val="true"/>
      <w:autoSpaceDE w:val="true"/>
      <w:bidi w:val="0"/>
      <w:jc w:val="left"/>
    </w:pPr>
    <w:rPr>
      <w:rFonts w:ascii="Times New Roman" w:hAnsi="Times New Roman" w:eastAsia="Times New Roman" w:cs="Times New Roman"/>
      <w:color w:val="00000A"/>
      <w:sz w:val="20"/>
      <w:szCs w:val="20"/>
      <w:lang w:val="pt-BR" w:eastAsia="pt-BR" w:bidi="ar-SA"/>
    </w:rPr>
  </w:style>
  <w:style w:type="paragraph" w:styleId="Ttulo1">
    <w:name w:val="Heading 1"/>
    <w:basedOn w:val="Ttulo"/>
    <w:qFormat/>
    <w:rsid w:val="0001241e"/>
    <w:pPr>
      <w:keepNext/>
      <w:keepLines/>
      <w:widowControl w:val="false"/>
      <w:bidi w:val="0"/>
      <w:spacing w:before="480" w:after="120"/>
      <w:contextualSpacing/>
      <w:jc w:val="left"/>
      <w:outlineLvl w:val="0"/>
    </w:pPr>
    <w:rPr>
      <w:rFonts w:ascii="Times New Roman" w:hAnsi="Times New Roman" w:eastAsia="Times New Roman" w:cs="Times New Roman"/>
      <w:b/>
      <w:color w:val="00000A"/>
      <w:sz w:val="48"/>
      <w:szCs w:val="48"/>
      <w:lang w:val="pt-BR" w:eastAsia="pt-BR" w:bidi="ar-SA"/>
    </w:rPr>
  </w:style>
  <w:style w:type="paragraph" w:styleId="Ttulo2">
    <w:name w:val="Heading 2"/>
    <w:basedOn w:val="Ttulo"/>
    <w:qFormat/>
    <w:rsid w:val="0001241e"/>
    <w:pPr>
      <w:keepNext/>
      <w:keepLines/>
      <w:widowControl w:val="false"/>
      <w:bidi w:val="0"/>
      <w:spacing w:before="360" w:after="80"/>
      <w:contextualSpacing/>
      <w:jc w:val="left"/>
      <w:outlineLvl w:val="1"/>
    </w:pPr>
    <w:rPr>
      <w:rFonts w:ascii="Times New Roman" w:hAnsi="Times New Roman" w:eastAsia="Times New Roman" w:cs="Times New Roman"/>
      <w:b/>
      <w:color w:val="00000A"/>
      <w:sz w:val="36"/>
      <w:szCs w:val="36"/>
      <w:lang w:val="pt-BR" w:eastAsia="pt-BR" w:bidi="ar-SA"/>
    </w:rPr>
  </w:style>
  <w:style w:type="paragraph" w:styleId="Ttulo3">
    <w:name w:val="Heading 3"/>
    <w:basedOn w:val="Ttulo"/>
    <w:qFormat/>
    <w:rsid w:val="0001241e"/>
    <w:pPr>
      <w:keepNext/>
      <w:keepLines/>
      <w:widowControl w:val="false"/>
      <w:bidi w:val="0"/>
      <w:spacing w:before="280" w:after="80"/>
      <w:contextualSpacing/>
      <w:jc w:val="left"/>
      <w:outlineLvl w:val="2"/>
    </w:pPr>
    <w:rPr>
      <w:rFonts w:ascii="Times New Roman" w:hAnsi="Times New Roman" w:eastAsia="Times New Roman" w:cs="Times New Roman"/>
      <w:b/>
      <w:color w:val="00000A"/>
      <w:sz w:val="28"/>
      <w:szCs w:val="28"/>
      <w:lang w:val="pt-BR" w:eastAsia="pt-BR" w:bidi="ar-SA"/>
    </w:rPr>
  </w:style>
  <w:style w:type="paragraph" w:styleId="Ttulo4">
    <w:name w:val="Heading 4"/>
    <w:basedOn w:val="Ttulo"/>
    <w:qFormat/>
    <w:rsid w:val="0001241e"/>
    <w:pPr>
      <w:keepNext/>
      <w:keepLines/>
      <w:widowControl w:val="false"/>
      <w:bidi w:val="0"/>
      <w:spacing w:before="240" w:after="40"/>
      <w:contextualSpacing/>
      <w:jc w:val="left"/>
      <w:outlineLvl w:val="3"/>
    </w:pPr>
    <w:rPr>
      <w:rFonts w:ascii="Times New Roman" w:hAnsi="Times New Roman" w:eastAsia="Times New Roman" w:cs="Times New Roman"/>
      <w:b/>
      <w:color w:val="00000A"/>
      <w:sz w:val="24"/>
      <w:szCs w:val="24"/>
      <w:lang w:val="pt-BR" w:eastAsia="pt-BR" w:bidi="ar-SA"/>
    </w:rPr>
  </w:style>
  <w:style w:type="paragraph" w:styleId="Ttulo5">
    <w:name w:val="Heading 5"/>
    <w:basedOn w:val="Ttulo"/>
    <w:qFormat/>
    <w:rsid w:val="0001241e"/>
    <w:pPr>
      <w:keepNext/>
      <w:keepLines/>
      <w:widowControl w:val="false"/>
      <w:bidi w:val="0"/>
      <w:spacing w:before="220" w:after="40"/>
      <w:contextualSpacing/>
      <w:jc w:val="left"/>
      <w:outlineLvl w:val="4"/>
    </w:pPr>
    <w:rPr>
      <w:rFonts w:ascii="Times New Roman" w:hAnsi="Times New Roman" w:eastAsia="Times New Roman" w:cs="Times New Roman"/>
      <w:b/>
      <w:color w:val="00000A"/>
      <w:sz w:val="22"/>
      <w:szCs w:val="22"/>
      <w:lang w:val="pt-BR" w:eastAsia="pt-BR" w:bidi="ar-SA"/>
    </w:rPr>
  </w:style>
  <w:style w:type="paragraph" w:styleId="Ttulo6">
    <w:name w:val="Heading 6"/>
    <w:basedOn w:val="Ttulo"/>
    <w:qFormat/>
    <w:rsid w:val="0001241e"/>
    <w:pPr>
      <w:keepNext/>
      <w:keepLines/>
      <w:widowControl w:val="false"/>
      <w:bidi w:val="0"/>
      <w:spacing w:before="200" w:after="40"/>
      <w:contextualSpacing/>
      <w:jc w:val="left"/>
      <w:outlineLvl w:val="5"/>
    </w:pPr>
    <w:rPr>
      <w:rFonts w:ascii="Times New Roman" w:hAnsi="Times New Roman" w:eastAsia="Times New Roman" w:cs="Times New Roman"/>
      <w:b/>
      <w:color w:val="00000A"/>
      <w:sz w:val="20"/>
      <w:szCs w:val="20"/>
      <w:lang w:val="pt-BR" w:eastAsia="pt-BR"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6d77ec"/>
    <w:rPr>
      <w:rFonts w:ascii="Tahoma" w:hAnsi="Tahoma" w:cs="Tahoma"/>
      <w:sz w:val="16"/>
      <w:szCs w:val="16"/>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Onormal" w:customStyle="1">
    <w:name w:val="LO-normal"/>
    <w:qFormat/>
    <w:rsid w:val="0001241e"/>
    <w:pPr>
      <w:widowControl/>
      <w:kinsoku w:val="true"/>
      <w:overflowPunct w:val="true"/>
      <w:autoSpaceDE w:val="true"/>
      <w:bidi w:val="0"/>
      <w:jc w:val="left"/>
    </w:pPr>
    <w:rPr>
      <w:rFonts w:ascii="Times New Roman" w:hAnsi="Times New Roman" w:eastAsia="Times New Roman" w:cs="Times New Roman"/>
      <w:color w:val="00000A"/>
      <w:sz w:val="20"/>
      <w:szCs w:val="20"/>
      <w:lang w:val="pt-BR" w:eastAsia="pt-BR" w:bidi="ar-SA"/>
    </w:rPr>
  </w:style>
  <w:style w:type="paragraph" w:styleId="Ttulododocumento">
    <w:name w:val="Title"/>
    <w:basedOn w:val="LOnormal"/>
    <w:qFormat/>
    <w:rsid w:val="0001241e"/>
    <w:pPr>
      <w:keepNext/>
      <w:keepLines/>
      <w:spacing w:before="480" w:after="120"/>
      <w:contextualSpacing/>
    </w:pPr>
    <w:rPr>
      <w:b/>
      <w:sz w:val="72"/>
      <w:szCs w:val="72"/>
    </w:rPr>
  </w:style>
  <w:style w:type="paragraph" w:styleId="Subttulo">
    <w:name w:val="Subtitle"/>
    <w:basedOn w:val="LOnormal"/>
    <w:qFormat/>
    <w:rsid w:val="0001241e"/>
    <w:pPr>
      <w:keepNext/>
      <w:keepLines/>
      <w:spacing w:before="360" w:after="80"/>
      <w:contextualSpacing/>
    </w:pPr>
    <w:rPr>
      <w:rFonts w:ascii="Georgia" w:hAnsi="Georgia" w:eastAsia="Georgia" w:cs="Georgia"/>
      <w:i/>
      <w:color w:val="666666"/>
      <w:sz w:val="48"/>
      <w:szCs w:val="48"/>
    </w:rPr>
  </w:style>
  <w:style w:type="paragraph" w:styleId="BalloonText">
    <w:name w:val="Balloon Text"/>
    <w:basedOn w:val="Normal"/>
    <w:link w:val="BalloonTextChar"/>
    <w:uiPriority w:val="99"/>
    <w:semiHidden/>
    <w:unhideWhenUsed/>
    <w:qFormat/>
    <w:rsid w:val="006d77ec"/>
    <w:pPr/>
    <w:rPr>
      <w:rFonts w:ascii="Tahoma" w:hAnsi="Tahoma" w:cs="Tahoma"/>
      <w:sz w:val="16"/>
      <w:szCs w:val="16"/>
    </w:rPr>
  </w:style>
  <w:style w:type="paragraph" w:styleId="Cabealho">
    <w:name w:val="Head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TableNormal1">
    <w:name w:val="Table Normal1"/>
    <w:rsid w:val="0001241e"/>
    <w:tblPr>
      <w:tblCellMar>
        <w:top w:w="0" w:type="dxa"/>
        <w:left w:w="0" w:type="dxa"/>
        <w:bottom w:w="0" w:type="dxa"/>
        <w:right w:w="0" w:type="dxa"/>
      </w:tblCellMar>
    </w:tblPr>
  </w:style>
  <w:style w:type="table" w:customStyle="1" w:styleId="2">
    <w:name w:val="2"/>
    <w:basedOn w:val="TableNormal1"/>
    <w:rsid w:val="0001241e"/>
    <w:tblPr>
      <w:tblStyleRowBandSize w:val="1"/>
      <w:tblStyleColBandSize w:val="1"/>
      <w:tblCellMar>
        <w:top w:w="0" w:type="dxa"/>
        <w:left w:w="93" w:type="dxa"/>
        <w:bottom w:w="0" w:type="dxa"/>
        <w:right w:w="108" w:type="dxa"/>
      </w:tblCellMar>
    </w:tblPr>
  </w:style>
  <w:style w:type="table" w:customStyle="1" w:styleId="1">
    <w:name w:val="1"/>
    <w:basedOn w:val="TableNormal1"/>
    <w:rsid w:val="0001241e"/>
    <w:tblPr>
      <w:tblStyleRowBandSize w:val="1"/>
      <w:tblStyleColBandSize w:val="1"/>
      <w:tblCellMar>
        <w:top w:w="0" w:type="dxa"/>
        <w:left w:w="70" w:type="dxa"/>
        <w:bottom w:w="0" w:type="dxa"/>
        <w:right w:w="7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LibreOffice/5.2.0.4$Windows_X86_64 LibreOffice_project/066b007f5ebcc236395c7d282ba488bca6720265</Application>
  <Pages>4</Pages>
  <Words>543</Words>
  <Characters>3050</Characters>
  <CharactersWithSpaces>3550</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2015-10-07T23:26:00Z</dcterms:created>
  <dc:creator>Kelly Cristina de Freitas Caramez</dc:creator>
  <dc:description/>
  <dc:language>pt-BR</dc:language>
  <cp:lastModifiedBy/>
  <dcterms:modified xsi:type="dcterms:W3CDTF">2017-02-09T09:28:39Z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